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A"/>
        <w:widowControl w:val="false"/>
        <w:spacing w:lineRule="auto" w:line="240" w:before="0" w:after="0"/>
        <w:jc w:val="center"/>
        <w:rPr>
          <w:rFonts w:ascii="Arial" w:hAnsi="Arial" w:eastAsia="Arial" w:cs="Arial"/>
          <w:sz w:val="24"/>
          <w:szCs w:val="24"/>
        </w:rPr>
      </w:pPr>
      <w:r>
        <w:rPr/>
        <w:drawing>
          <wp:inline distT="0" distB="0" distL="0" distR="0">
            <wp:extent cx="2974975" cy="1597025"/>
            <wp:effectExtent l="0" t="0" r="0" b="0"/>
            <wp:docPr id="1" name="officeArt object"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1.png"/>
                    <pic:cNvPicPr>
                      <a:picLocks noChangeAspect="1" noChangeArrowheads="1"/>
                    </pic:cNvPicPr>
                  </pic:nvPicPr>
                  <pic:blipFill>
                    <a:blip r:embed="rId2"/>
                    <a:stretch>
                      <a:fillRect/>
                    </a:stretch>
                  </pic:blipFill>
                  <pic:spPr bwMode="auto">
                    <a:xfrm>
                      <a:off x="0" y="0"/>
                      <a:ext cx="2974975" cy="1597025"/>
                    </a:xfrm>
                    <a:prstGeom prst="rect">
                      <a:avLst/>
                    </a:prstGeom>
                    <a:noFill/>
                  </pic:spPr>
                </pic:pic>
              </a:graphicData>
            </a:graphic>
          </wp:inline>
        </w:drawing>
      </w:r>
    </w:p>
    <w:p>
      <w:pPr>
        <w:pStyle w:val="ARCATNormal"/>
        <w:rPr>
          <w:rStyle w:val="NoneA"/>
          <w:sz w:val="20"/>
          <w:szCs w:val="20"/>
        </w:rPr>
      </w:pPr>
      <w:r>
        <w:rPr>
          <w:sz w:val="20"/>
          <w:szCs w:val="20"/>
        </w:rPr>
      </w:r>
    </w:p>
    <w:p>
      <w:pPr>
        <w:pStyle w:val="ARCATTitle"/>
        <w:jc w:val="center"/>
        <w:rPr>
          <w:sz w:val="20"/>
          <w:szCs w:val="20"/>
        </w:rPr>
      </w:pPr>
      <w:r>
        <w:rPr>
          <w:sz w:val="20"/>
          <w:szCs w:val="20"/>
          <w:lang w:val="en-US"/>
        </w:rPr>
        <w:t>SECTION 10 22 13</w:t>
      </w:r>
    </w:p>
    <w:p>
      <w:pPr>
        <w:pStyle w:val="ARCATNormal"/>
        <w:rPr>
          <w:rStyle w:val="NoneA"/>
          <w:sz w:val="20"/>
          <w:szCs w:val="20"/>
        </w:rPr>
      </w:pPr>
      <w:r>
        <w:rPr>
          <w:sz w:val="20"/>
          <w:szCs w:val="20"/>
        </w:rPr>
      </w:r>
    </w:p>
    <w:p>
      <w:pPr>
        <w:pStyle w:val="ARCATTitle"/>
        <w:jc w:val="center"/>
        <w:rPr>
          <w:sz w:val="20"/>
          <w:szCs w:val="20"/>
        </w:rPr>
      </w:pPr>
      <w:r>
        <w:rPr>
          <w:sz w:val="20"/>
          <w:szCs w:val="20"/>
          <w:lang w:val="en-US"/>
        </w:rPr>
        <w:t>HEAVY DUTY WIRE MESH WINDOW GUARDS</w:t>
      </w:r>
    </w:p>
    <w:p>
      <w:pPr>
        <w:pStyle w:val="ARCATNormal"/>
        <w:rPr>
          <w:rStyle w:val="NoneA"/>
          <w:sz w:val="20"/>
          <w:szCs w:val="20"/>
        </w:rPr>
      </w:pPr>
      <w:r>
        <w:rPr>
          <w:sz w:val="20"/>
          <w:szCs w:val="20"/>
        </w:rPr>
      </w:r>
    </w:p>
    <w:p>
      <w:pPr>
        <w:pStyle w:val="ARCATTitle"/>
        <w:jc w:val="center"/>
        <w:rPr>
          <w:sz w:val="20"/>
          <w:szCs w:val="20"/>
        </w:rPr>
      </w:pPr>
      <w:r>
        <w:rPr>
          <w:sz w:val="20"/>
          <w:szCs w:val="20"/>
          <w:lang w:val="en-US"/>
        </w:rPr>
        <w:t xml:space="preserve"> </w:t>
      </w:r>
    </w:p>
    <w:p>
      <w:pPr>
        <w:pStyle w:val="ARCATnote"/>
        <w:rPr>
          <w:outline w:val="false"/>
          <w:color w:val="FF0000"/>
          <w:u w:val="none" w:color="FF0000"/>
        </w:rPr>
      </w:pPr>
      <w:r>
        <w:rPr>
          <w:outline w:val="false"/>
          <w:color w:val="FF0000"/>
          <w:u w:val="none" w:color="FF0000"/>
          <w:lang w:val="en-US"/>
        </w:rPr>
        <w:t>** NOTE TO SPECIFIER ** heavy duty woven wire mesh partitions, wire mesh infill panels, window guards, and area guarding.</w:t>
      </w:r>
      <w:r>
        <w:rPr>
          <w:outline w:val="false"/>
          <w:color w:val="FF0000"/>
          <w:u w:val="none" w:color="FF0000"/>
        </w:rPr>
        <w:br/>
        <w:t xml:space="preserve"> </w:t>
      </w:r>
      <w:r>
        <w:rPr>
          <w:outline w:val="false"/>
          <w:color w:val="FF0000"/>
          <w:u w:val="none" w:color="FF0000"/>
          <w:lang w:val="en-US"/>
        </w:rPr>
        <w:t>.</w:t>
      </w:r>
      <w:r>
        <w:rPr>
          <w:outline w:val="false"/>
          <w:color w:val="FF0000"/>
          <w:u w:val="none" w:color="FF0000"/>
        </w:rPr>
        <w:br/>
      </w:r>
      <w:r>
        <w:rPr>
          <w:outline w:val="false"/>
          <w:color w:val="FF0000"/>
          <w:u w:val="none" w:color="FF0000"/>
          <w:lang w:val="en-US"/>
        </w:rPr>
        <w:t>This section is based on the products manufactured by active members of the Woven Wire Products Association.  For more information, please contact:</w:t>
      </w:r>
    </w:p>
    <w:p>
      <w:pPr>
        <w:pStyle w:val="ARCATnote"/>
        <w:rPr>
          <w:outline w:val="false"/>
          <w:color w:val="FF0000"/>
          <w:u w:val="none" w:color="FF0000"/>
        </w:rPr>
      </w:pPr>
      <w:r>
        <w:rPr>
          <w:outline w:val="false"/>
          <w:color w:val="FF0000"/>
          <w:u w:val="none" w:color="FF0000"/>
          <w:lang w:val="en-US"/>
        </w:rPr>
        <w:t xml:space="preserve">  </w:t>
      </w:r>
    </w:p>
    <w:p>
      <w:pPr>
        <w:pStyle w:val="BodyA"/>
        <w:widowControl w:val="false"/>
        <w:pBdr>
          <w:top w:val="dotted" w:sz="4" w:space="0" w:color="FF0000"/>
          <w:left w:val="dotted" w:sz="4" w:space="0" w:color="FF0000"/>
          <w:bottom w:val="dotted" w:sz="4" w:space="0" w:color="FF0000"/>
          <w:right w:val="dotted" w:sz="4" w:space="0" w:color="FF0000"/>
        </w:pBdr>
        <w:tabs>
          <w:tab w:val="clear" w:pos="58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0"/>
        <w:rPr>
          <w:b/>
          <w:bCs/>
          <w:outline w:val="false"/>
          <w:color w:val="FF0000"/>
          <w:sz w:val="24"/>
          <w:szCs w:val="24"/>
          <w:u w:val="none" w:color="FF0000"/>
          <w:lang w:val="en-US"/>
        </w:rPr>
      </w:pPr>
      <w:r>
        <w:rPr>
          <w:b/>
          <w:bCs/>
          <w:outline w:val="false"/>
          <w:color w:val="FF0000"/>
          <w:sz w:val="24"/>
          <w:szCs w:val="24"/>
          <w:u w:val="none" w:color="FF0000"/>
          <w:lang w:val="en-US"/>
        </w:rPr>
        <w:t>Woven Wire Products Association</w:t>
      </w:r>
    </w:p>
    <w:p>
      <w:pPr>
        <w:pStyle w:val="BodyA"/>
        <w:widowControl w:val="false"/>
        <w:pBdr>
          <w:top w:val="dotted" w:sz="4" w:space="0" w:color="FF0000"/>
          <w:left w:val="dotted" w:sz="4" w:space="0" w:color="FF0000"/>
          <w:bottom w:val="dotted" w:sz="4" w:space="0" w:color="FF0000"/>
          <w:right w:val="dotted" w:sz="4" w:space="0" w:color="FF0000"/>
        </w:pBdr>
        <w:tabs>
          <w:tab w:val="clear" w:pos="58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0"/>
        <w:rPr>
          <w:b/>
          <w:bCs/>
          <w:outline w:val="false"/>
          <w:color w:val="FF0000"/>
          <w:sz w:val="24"/>
          <w:szCs w:val="24"/>
          <w:u w:val="none" w:color="FF0000"/>
          <w:lang w:val="en-US"/>
        </w:rPr>
      </w:pPr>
      <w:r>
        <w:rPr>
          <w:b/>
          <w:bCs/>
          <w:outline w:val="false"/>
          <w:color w:val="FF0000"/>
          <w:sz w:val="24"/>
          <w:szCs w:val="24"/>
          <w:u w:val="none" w:color="FF0000"/>
          <w:lang w:val="en-US"/>
        </w:rPr>
        <w:t>C/O B DesJardin, Secretary</w:t>
      </w:r>
    </w:p>
    <w:p>
      <w:pPr>
        <w:pStyle w:val="BodyA"/>
        <w:widowControl w:val="false"/>
        <w:pBdr>
          <w:top w:val="dotted" w:sz="4" w:space="0" w:color="FF0000"/>
          <w:left w:val="dotted" w:sz="4" w:space="0" w:color="FF0000"/>
          <w:bottom w:val="dotted" w:sz="4" w:space="0" w:color="FF0000"/>
          <w:right w:val="dotted" w:sz="4" w:space="0" w:color="FF0000"/>
        </w:pBdr>
        <w:tabs>
          <w:tab w:val="clear" w:pos="58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0"/>
        <w:rPr>
          <w:b/>
          <w:bCs/>
          <w:outline w:val="false"/>
          <w:color w:val="FF0000"/>
          <w:sz w:val="24"/>
          <w:szCs w:val="24"/>
          <w:u w:val="none" w:color="FF0000"/>
          <w:lang w:val="en-US"/>
        </w:rPr>
      </w:pPr>
      <w:r>
        <w:rPr>
          <w:b/>
          <w:bCs/>
          <w:outline w:val="false"/>
          <w:color w:val="FF0000"/>
          <w:sz w:val="24"/>
          <w:szCs w:val="24"/>
          <w:u w:val="none" w:color="FF0000"/>
          <w:lang w:val="en-US"/>
        </w:rPr>
        <w:t>PO Box 388</w:t>
      </w:r>
    </w:p>
    <w:p>
      <w:pPr>
        <w:pStyle w:val="BodyA"/>
        <w:widowControl w:val="false"/>
        <w:pBdr>
          <w:top w:val="dotted" w:sz="4" w:space="0" w:color="FF0000"/>
          <w:left w:val="dotted" w:sz="4" w:space="0" w:color="FF0000"/>
          <w:bottom w:val="dotted" w:sz="4" w:space="0" w:color="FF0000"/>
          <w:right w:val="dotted" w:sz="4" w:space="0" w:color="FF0000"/>
        </w:pBdr>
        <w:tabs>
          <w:tab w:val="clear" w:pos="58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0"/>
        <w:rPr>
          <w:rStyle w:val="None"/>
          <w:outline w:val="false"/>
          <w:color w:val="FF0000"/>
          <w:u w:val="none" w:color="FF0000"/>
        </w:rPr>
      </w:pPr>
      <w:r>
        <w:rPr>
          <w:b/>
          <w:bCs/>
          <w:outline w:val="false"/>
          <w:color w:val="FF0000"/>
          <w:sz w:val="24"/>
          <w:szCs w:val="24"/>
          <w:u w:val="none" w:color="FF0000"/>
          <w:lang w:val="en-US"/>
        </w:rPr>
        <w:t>Litchfield MI  49252</w:t>
      </w:r>
      <w:r>
        <w:rPr>
          <w:b/>
          <w:bCs/>
          <w:outline w:val="false"/>
          <w:color w:val="FF0000"/>
          <w:sz w:val="24"/>
          <w:szCs w:val="24"/>
          <w:u w:val="none" w:color="FF0000"/>
        </w:rPr>
        <w:br/>
        <w:t xml:space="preserve">Email:  </w:t>
      </w:r>
      <w:hyperlink r:id="rId3">
        <w:r>
          <w:rPr>
            <w:rStyle w:val="Style9"/>
            <w:rFonts w:ascii="Times New Roman" w:hAnsi="Times New Roman" w:eastAsia="Times New Roman" w:cs="Times New Roman"/>
            <w:b/>
            <w:b/>
            <w:bCs/>
            <w:outline w:val="false"/>
            <w:color w:val="0563C1"/>
            <w:sz w:val="24"/>
            <w:sz w:val="24"/>
            <w:szCs w:val="24"/>
            <w:u w:val="single" w:color="0563C1"/>
            <w:lang w:val="de-DE"/>
          </w:rPr>
          <w:t>info@wovenwire.org</w:t>
        </w:r>
      </w:hyperlink>
      <w:r>
        <w:rPr>
          <w:rStyle w:val="None"/>
          <w:b/>
          <w:bCs/>
          <w:outline w:val="false"/>
          <w:color w:val="FF0000"/>
          <w:sz w:val="24"/>
          <w:szCs w:val="24"/>
          <w:u w:val="none" w:color="FF0000"/>
        </w:rPr>
        <w:br/>
        <w:t xml:space="preserve">Web: </w:t>
      </w:r>
      <w:r>
        <w:rPr>
          <w:rStyle w:val="None"/>
          <w:b/>
          <w:bCs/>
          <w:outline w:val="false"/>
          <w:color w:val="802020"/>
          <w:sz w:val="24"/>
          <w:szCs w:val="24"/>
          <w:u w:val="single" w:color="802020"/>
        </w:rPr>
        <w:t>www.wovenwire.org</w:t>
      </w:r>
      <w:r>
        <w:rPr>
          <w:rStyle w:val="None"/>
          <w:outline w:val="false"/>
          <w:color w:val="FF0000"/>
          <w:u w:val="none" w:color="FF0000"/>
        </w:rPr>
        <w:br/>
        <w:t xml:space="preserve">  </w:t>
        <w:br/>
      </w:r>
      <w:r>
        <w:rPr>
          <w:rStyle w:val="None"/>
          <w:outline w:val="false"/>
          <w:color w:val="FF0000"/>
          <w:u w:val="none" w:color="FF0000"/>
          <w:lang w:val="en-US"/>
        </w:rPr>
        <w:t>The Woven Wire Products Association (WWPA) was established in 1942 as a professional association representing U.S. manufacturers of diamond woven wire mesh products. WWPA members emphasize high quality workmanship and ethical business standards, and produce woven wire products for institutional, industrial, and architectural applications.</w:t>
      </w:r>
      <w:r>
        <w:rPr>
          <w:rStyle w:val="None"/>
          <w:outline w:val="false"/>
          <w:color w:val="FF0000"/>
          <w:u w:val="none" w:color="FF0000"/>
        </w:rPr>
        <w:br/>
        <w:t xml:space="preserve"> </w:t>
        <w:br/>
      </w:r>
      <w:r>
        <w:rPr>
          <w:rStyle w:val="None"/>
          <w:outline w:val="false"/>
          <w:color w:val="FF0000"/>
          <w:u w:val="none" w:color="FF0000"/>
          <w:lang w:val="en-US"/>
        </w:rPr>
        <w:t>With over 1,000 years of combined experience, WWPA member companies are the preeminent manufacturers of woven wire partitions, window guarding, and railing infill panels. Architects and general contractors have trusted the WWPA over the years to deliver high quality products, along with exact specifications to match the needs of their active projects.</w:t>
      </w:r>
    </w:p>
    <w:p>
      <w:pPr>
        <w:pStyle w:val="ARCATnote"/>
        <w:rPr>
          <w:rStyle w:val="None"/>
          <w:outline w:val="false"/>
          <w:color w:val="FF0000"/>
          <w:u w:val="none" w:color="FF0000"/>
        </w:rPr>
      </w:pPr>
      <w:r>
        <w:rPr>
          <w:rStyle w:val="None"/>
          <w:outline w:val="false"/>
          <w:color w:val="FF0000"/>
          <w:u w:val="none" w:color="FF0000"/>
          <w:lang w:val="en-US"/>
        </w:rPr>
        <w:t>.</w:t>
      </w:r>
    </w:p>
    <w:p>
      <w:pPr>
        <w:pStyle w:val="ARCATPart"/>
        <w:numPr>
          <w:ilvl w:val="0"/>
          <w:numId w:val="1"/>
        </w:numPr>
        <w:bidi w:val="0"/>
        <w:spacing w:before="200" w:after="0"/>
        <w:ind w:hanging="576" w:left="576" w:right="0"/>
        <w:jc w:val="left"/>
        <w:rPr>
          <w:sz w:val="20"/>
          <w:szCs w:val="20"/>
          <w:lang w:val="en-US"/>
        </w:rPr>
      </w:pPr>
      <w:r>
        <w:rPr>
          <w:rStyle w:val="NoneA"/>
          <w:sz w:val="20"/>
          <w:szCs w:val="20"/>
          <w:lang w:val="en-US"/>
        </w:rPr>
        <w:t xml:space="preserve">  </w:t>
      </w:r>
      <w:r>
        <w:rPr>
          <w:rStyle w:val="NoneA"/>
          <w:sz w:val="20"/>
          <w:szCs w:val="20"/>
          <w:lang w:val="en-US"/>
        </w:rPr>
        <w:t>GENERAL</w:t>
      </w:r>
    </w:p>
    <w:p>
      <w:pPr>
        <w:pStyle w:val="ARCATArticle"/>
        <w:numPr>
          <w:ilvl w:val="1"/>
          <w:numId w:val="1"/>
        </w:numPr>
        <w:bidi w:val="0"/>
        <w:spacing w:before="200" w:after="0"/>
        <w:ind w:hanging="576" w:left="576" w:right="0"/>
        <w:jc w:val="left"/>
        <w:rPr>
          <w:sz w:val="20"/>
          <w:szCs w:val="20"/>
        </w:rPr>
      </w:pPr>
      <w:r>
        <w:rPr>
          <w:rStyle w:val="NoneA"/>
          <w:sz w:val="20"/>
          <w:szCs w:val="20"/>
        </w:rPr>
        <w:tab/>
        <w:t>SUMMARY</w:t>
      </w:r>
    </w:p>
    <w:p>
      <w:pPr>
        <w:pStyle w:val="ARCATParagraph"/>
        <w:numPr>
          <w:ilvl w:val="2"/>
          <w:numId w:val="1"/>
        </w:numPr>
        <w:bidi w:val="0"/>
        <w:spacing w:before="200" w:after="0"/>
        <w:ind w:hanging="576" w:left="1152" w:right="0"/>
        <w:jc w:val="left"/>
        <w:rPr>
          <w:sz w:val="20"/>
          <w:szCs w:val="20"/>
        </w:rPr>
      </w:pPr>
      <w:r>
        <w:rPr>
          <w:rStyle w:val="NoneA"/>
          <w:sz w:val="20"/>
          <w:szCs w:val="20"/>
        </w:rPr>
        <w:tab/>
        <w:t>Heavy-Duty Wire Mesh Window Guards</w:t>
      </w:r>
    </w:p>
    <w:p>
      <w:pPr>
        <w:pStyle w:val="ARCATArticle"/>
        <w:numPr>
          <w:ilvl w:val="1"/>
          <w:numId w:val="1"/>
        </w:numPr>
        <w:bidi w:val="0"/>
        <w:spacing w:before="200" w:after="200"/>
        <w:ind w:hanging="576" w:left="576" w:right="0"/>
        <w:jc w:val="left"/>
        <w:rPr>
          <w:sz w:val="20"/>
          <w:szCs w:val="20"/>
        </w:rPr>
      </w:pPr>
      <w:r>
        <w:rPr>
          <w:rStyle w:val="NoneA"/>
          <w:sz w:val="20"/>
          <w:szCs w:val="20"/>
        </w:rPr>
        <w:tab/>
        <w:t>RELATED DOCUMENTS</w:t>
      </w:r>
    </w:p>
    <w:p>
      <w:pPr>
        <w:pStyle w:val="ARCATnote"/>
        <w:rPr>
          <w:rStyle w:val="None"/>
          <w:outline w:val="false"/>
          <w:color w:val="FF0000"/>
          <w:u w:val="none" w:color="FF0000"/>
        </w:rPr>
      </w:pPr>
      <w:r>
        <w:rPr>
          <w:rStyle w:val="None"/>
          <w:outline w:val="false"/>
          <w:color w:val="FF0000"/>
          <w:u w:val="none" w:color="FF0000"/>
          <w:lang w:val="en-US"/>
        </w:rPr>
        <w:t>** NOTE TO SPECIFIER ** Delete any sections below not relevant to this project; add others as required.</w:t>
      </w:r>
    </w:p>
    <w:p>
      <w:pPr>
        <w:pStyle w:val="ARCATParagraph"/>
        <w:numPr>
          <w:ilvl w:val="2"/>
          <w:numId w:val="1"/>
        </w:numPr>
        <w:bidi w:val="0"/>
        <w:spacing w:before="200" w:after="0"/>
        <w:ind w:hanging="576" w:left="1152" w:right="0"/>
        <w:jc w:val="left"/>
        <w:rPr>
          <w:sz w:val="20"/>
          <w:szCs w:val="20"/>
        </w:rPr>
      </w:pPr>
      <w:r>
        <w:rPr>
          <w:rStyle w:val="NoneA"/>
          <w:sz w:val="20"/>
          <w:szCs w:val="20"/>
        </w:rPr>
        <w:tab/>
        <w:t>Drawings and general provisions of the Contract, including General and Supplementary Conditions and Division 01 Specification Sections, apply to this Section.</w:t>
      </w:r>
    </w:p>
    <w:p>
      <w:pPr>
        <w:pStyle w:val="ARCATParagraph"/>
        <w:numPr>
          <w:ilvl w:val="2"/>
          <w:numId w:val="1"/>
        </w:numPr>
        <w:bidi w:val="0"/>
        <w:spacing w:before="0" w:after="0"/>
        <w:ind w:hanging="576" w:left="1152" w:right="0"/>
        <w:jc w:val="left"/>
        <w:rPr>
          <w:sz w:val="20"/>
          <w:szCs w:val="20"/>
          <w:lang w:val="en-US"/>
        </w:rPr>
      </w:pPr>
      <w:r>
        <w:rPr>
          <w:rStyle w:val="NoneA"/>
          <w:sz w:val="20"/>
          <w:szCs w:val="20"/>
          <w:lang w:val="en-US"/>
        </w:rPr>
        <w:t xml:space="preserve">       </w:t>
      </w:r>
      <w:r>
        <w:rPr>
          <w:rStyle w:val="NoneA"/>
          <w:sz w:val="20"/>
          <w:szCs w:val="20"/>
          <w:lang w:val="en-US"/>
        </w:rPr>
        <w:t>Section 03300 - Cast-In-Place Concrete: Restriction on location and penetration depth of fasteners.</w:t>
      </w:r>
    </w:p>
    <w:p>
      <w:pPr>
        <w:pStyle w:val="ARCATArticle"/>
        <w:numPr>
          <w:ilvl w:val="1"/>
          <w:numId w:val="1"/>
        </w:numPr>
        <w:bidi w:val="0"/>
        <w:spacing w:before="200" w:after="0"/>
        <w:ind w:hanging="576" w:left="576" w:right="0"/>
        <w:jc w:val="left"/>
        <w:rPr>
          <w:sz w:val="20"/>
          <w:szCs w:val="20"/>
        </w:rPr>
      </w:pPr>
      <w:r>
        <w:rPr>
          <w:rStyle w:val="NoneA"/>
          <w:sz w:val="20"/>
          <w:szCs w:val="20"/>
        </w:rPr>
        <w:tab/>
        <w:t>SUBMITTALS</w:t>
      </w:r>
    </w:p>
    <w:p>
      <w:pPr>
        <w:pStyle w:val="ARCATParagraph"/>
        <w:numPr>
          <w:ilvl w:val="2"/>
          <w:numId w:val="1"/>
        </w:numPr>
        <w:bidi w:val="0"/>
        <w:spacing w:before="200" w:after="0"/>
        <w:ind w:hanging="576" w:left="1152" w:right="0"/>
        <w:jc w:val="left"/>
        <w:rPr>
          <w:sz w:val="20"/>
          <w:szCs w:val="20"/>
        </w:rPr>
      </w:pPr>
      <w:r>
        <w:rPr>
          <w:rStyle w:val="NoneA"/>
          <w:sz w:val="20"/>
          <w:szCs w:val="20"/>
        </w:rPr>
        <w:tab/>
        <w:t>Submit under provisions of Section 01 30 00.</w:t>
      </w:r>
    </w:p>
    <w:p>
      <w:pPr>
        <w:pStyle w:val="ARCATParagraph"/>
        <w:numPr>
          <w:ilvl w:val="2"/>
          <w:numId w:val="1"/>
        </w:numPr>
        <w:bidi w:val="0"/>
        <w:spacing w:before="0" w:after="0"/>
        <w:ind w:hanging="576" w:left="1152" w:right="0"/>
        <w:jc w:val="left"/>
        <w:rPr>
          <w:sz w:val="20"/>
          <w:szCs w:val="20"/>
        </w:rPr>
      </w:pPr>
      <w:r>
        <w:rPr>
          <w:rStyle w:val="NoneA"/>
          <w:sz w:val="20"/>
          <w:szCs w:val="20"/>
        </w:rPr>
        <w:tab/>
        <w:t>Product Data: Manufacturer's data sheets on each product to be used, including:</w:t>
      </w:r>
    </w:p>
    <w:p>
      <w:pPr>
        <w:pStyle w:val="ARCATSubPara"/>
        <w:numPr>
          <w:ilvl w:val="3"/>
          <w:numId w:val="1"/>
        </w:numPr>
        <w:bidi w:val="0"/>
        <w:spacing w:before="0" w:after="0"/>
        <w:ind w:hanging="576" w:left="1728" w:right="0"/>
        <w:jc w:val="left"/>
        <w:rPr>
          <w:sz w:val="20"/>
          <w:szCs w:val="20"/>
        </w:rPr>
      </w:pPr>
      <w:r>
        <w:rPr>
          <w:rStyle w:val="NoneA"/>
          <w:sz w:val="20"/>
          <w:szCs w:val="20"/>
        </w:rPr>
        <w:tab/>
        <w:t>Detailed specification of construction and fabrication.</w:t>
      </w:r>
    </w:p>
    <w:p>
      <w:pPr>
        <w:pStyle w:val="ARCATSubPara"/>
        <w:numPr>
          <w:ilvl w:val="3"/>
          <w:numId w:val="1"/>
        </w:numPr>
        <w:bidi w:val="0"/>
        <w:spacing w:before="0" w:after="0"/>
        <w:ind w:hanging="576" w:left="1728" w:right="0"/>
        <w:jc w:val="left"/>
        <w:rPr>
          <w:sz w:val="20"/>
          <w:szCs w:val="20"/>
        </w:rPr>
      </w:pPr>
      <w:r>
        <w:rPr>
          <w:rStyle w:val="NoneA"/>
          <w:sz w:val="20"/>
          <w:szCs w:val="20"/>
        </w:rPr>
        <w:tab/>
        <w:t>Manufacturer's installation instructions.</w:t>
      </w:r>
    </w:p>
    <w:p>
      <w:pPr>
        <w:pStyle w:val="ARCATSubPara"/>
        <w:numPr>
          <w:ilvl w:val="3"/>
          <w:numId w:val="1"/>
        </w:numPr>
        <w:bidi w:val="0"/>
        <w:spacing w:before="0" w:after="0"/>
        <w:ind w:hanging="576" w:left="1728" w:right="0"/>
        <w:jc w:val="left"/>
        <w:rPr>
          <w:sz w:val="20"/>
          <w:szCs w:val="20"/>
        </w:rPr>
      </w:pPr>
      <w:r>
        <w:rPr>
          <w:rStyle w:val="NoneA"/>
          <w:sz w:val="20"/>
          <w:szCs w:val="20"/>
        </w:rPr>
        <w:tab/>
        <w:t>Preparation instructions and recommendations.</w:t>
      </w:r>
    </w:p>
    <w:p>
      <w:pPr>
        <w:pStyle w:val="ARCATSubPara"/>
        <w:numPr>
          <w:ilvl w:val="3"/>
          <w:numId w:val="1"/>
        </w:numPr>
        <w:bidi w:val="0"/>
        <w:spacing w:before="0" w:after="0"/>
        <w:ind w:hanging="576" w:left="1728" w:right="0"/>
        <w:jc w:val="left"/>
        <w:rPr>
          <w:sz w:val="20"/>
          <w:szCs w:val="20"/>
        </w:rPr>
      </w:pPr>
      <w:r>
        <w:rPr>
          <w:rStyle w:val="NoneA"/>
          <w:sz w:val="20"/>
          <w:szCs w:val="20"/>
        </w:rPr>
        <w:tab/>
        <w:t>Storage and handling requirements and recommendations.</w:t>
      </w:r>
    </w:p>
    <w:p>
      <w:pPr>
        <w:pStyle w:val="ARCATParagraph"/>
        <w:numPr>
          <w:ilvl w:val="2"/>
          <w:numId w:val="1"/>
        </w:numPr>
        <w:bidi w:val="0"/>
        <w:spacing w:before="200" w:after="0"/>
        <w:ind w:hanging="576" w:left="1152" w:right="0"/>
        <w:jc w:val="left"/>
        <w:rPr>
          <w:sz w:val="20"/>
          <w:szCs w:val="20"/>
        </w:rPr>
      </w:pPr>
      <w:r>
        <w:rPr>
          <w:rStyle w:val="NoneA"/>
          <w:sz w:val="20"/>
          <w:szCs w:val="20"/>
        </w:rPr>
        <w:tab/>
        <w:t>Shop Drawings: Indicate dimensions, description of materials and finishes, general construction, specific modifications, component connections, anchorage methods, hardware, and installation procedures, plus the following specific requirements.</w:t>
      </w:r>
    </w:p>
    <w:p>
      <w:pPr>
        <w:pStyle w:val="ARCATSubPara"/>
        <w:numPr>
          <w:ilvl w:val="3"/>
          <w:numId w:val="1"/>
        </w:numPr>
        <w:bidi w:val="0"/>
        <w:ind w:hanging="576" w:left="1728" w:right="0"/>
        <w:jc w:val="left"/>
        <w:rPr>
          <w:sz w:val="20"/>
          <w:szCs w:val="20"/>
        </w:rPr>
      </w:pPr>
      <w:r>
        <w:rPr>
          <w:rStyle w:val="NoneA"/>
          <w:sz w:val="20"/>
          <w:szCs w:val="20"/>
        </w:rPr>
        <w:tab/>
        <w:t>Provide location template drawings for items supported or anchored to permanent construction.</w:t>
      </w:r>
    </w:p>
    <w:p>
      <w:pPr>
        <w:pStyle w:val="ARCATSubPara"/>
        <w:ind w:hanging="0" w:left="1728" w:right="0"/>
        <w:rPr>
          <w:rStyle w:val="NoneA"/>
          <w:sz w:val="20"/>
          <w:szCs w:val="20"/>
        </w:rPr>
      </w:pPr>
      <w:r>
        <w:rPr>
          <w:sz w:val="20"/>
          <w:szCs w:val="20"/>
        </w:rPr>
      </w:r>
    </w:p>
    <w:p>
      <w:pPr>
        <w:pStyle w:val="ARCATnote"/>
        <w:rPr>
          <w:rStyle w:val="None"/>
          <w:outline w:val="false"/>
          <w:color w:val="FF0000"/>
          <w:u w:val="none" w:color="FF0000"/>
        </w:rPr>
      </w:pPr>
      <w:r>
        <w:rPr>
          <w:rStyle w:val="None"/>
          <w:outline w:val="false"/>
          <w:color w:val="FF0000"/>
          <w:u w:val="none" w:color="FF0000"/>
          <w:lang w:val="en-US"/>
        </w:rPr>
        <w:t>** NOTE TO SPECIFIER ** Delete selection samples if colors have already been selected.</w:t>
      </w:r>
    </w:p>
    <w:p>
      <w:pPr>
        <w:pStyle w:val="ARCATParagraph"/>
        <w:numPr>
          <w:ilvl w:val="2"/>
          <w:numId w:val="1"/>
        </w:numPr>
        <w:bidi w:val="0"/>
        <w:spacing w:before="200" w:after="0"/>
        <w:ind w:hanging="576" w:left="1152" w:right="0"/>
        <w:jc w:val="left"/>
        <w:rPr>
          <w:sz w:val="20"/>
          <w:szCs w:val="20"/>
        </w:rPr>
      </w:pPr>
      <w:r>
        <w:rPr>
          <w:rStyle w:val="NoneA"/>
          <w:sz w:val="20"/>
          <w:szCs w:val="20"/>
        </w:rPr>
        <w:tab/>
        <w:t>Selection Samples: For each finish product specified, two complete sets of color chips representing manufacturer's full range of available colors and patterns.</w:t>
      </w:r>
    </w:p>
    <w:p>
      <w:pPr>
        <w:pStyle w:val="ARCATArticle"/>
        <w:numPr>
          <w:ilvl w:val="1"/>
          <w:numId w:val="1"/>
        </w:numPr>
        <w:bidi w:val="0"/>
        <w:spacing w:before="200" w:after="0"/>
        <w:ind w:hanging="576" w:left="576" w:right="0"/>
        <w:jc w:val="left"/>
        <w:rPr>
          <w:sz w:val="20"/>
          <w:szCs w:val="20"/>
        </w:rPr>
      </w:pPr>
      <w:r>
        <w:rPr>
          <w:rStyle w:val="NoneA"/>
          <w:sz w:val="20"/>
          <w:szCs w:val="20"/>
        </w:rPr>
        <w:tab/>
        <w:t>QUALITY ASSURANCE</w:t>
      </w:r>
    </w:p>
    <w:p>
      <w:pPr>
        <w:pStyle w:val="ARCATParagraph"/>
        <w:numPr>
          <w:ilvl w:val="2"/>
          <w:numId w:val="1"/>
        </w:numPr>
        <w:bidi w:val="0"/>
        <w:spacing w:before="200" w:after="0"/>
        <w:ind w:hanging="576" w:left="1152" w:right="0"/>
        <w:jc w:val="left"/>
        <w:rPr>
          <w:sz w:val="20"/>
          <w:szCs w:val="20"/>
        </w:rPr>
      </w:pPr>
      <w:r>
        <w:rPr>
          <w:rStyle w:val="NoneA"/>
          <w:sz w:val="20"/>
          <w:szCs w:val="20"/>
        </w:rPr>
        <w:tab/>
        <w:t>Installer Qualifications</w:t>
      </w:r>
    </w:p>
    <w:p>
      <w:pPr>
        <w:pStyle w:val="ARCATSubPara"/>
        <w:numPr>
          <w:ilvl w:val="3"/>
          <w:numId w:val="1"/>
        </w:numPr>
        <w:bidi w:val="0"/>
        <w:spacing w:before="0" w:after="0"/>
        <w:ind w:hanging="576" w:left="1728" w:right="0"/>
        <w:jc w:val="left"/>
        <w:rPr>
          <w:sz w:val="20"/>
          <w:szCs w:val="20"/>
        </w:rPr>
      </w:pPr>
      <w:r>
        <w:rPr>
          <w:rStyle w:val="NoneA"/>
          <w:sz w:val="20"/>
          <w:szCs w:val="20"/>
        </w:rPr>
        <w:tab/>
        <w:t>Construct areas designated by Architect.</w:t>
      </w:r>
    </w:p>
    <w:p>
      <w:pPr>
        <w:pStyle w:val="ARCATSubPara"/>
        <w:numPr>
          <w:ilvl w:val="3"/>
          <w:numId w:val="1"/>
        </w:numPr>
        <w:bidi w:val="0"/>
        <w:spacing w:before="0" w:after="0"/>
        <w:ind w:hanging="576" w:left="1728" w:right="0"/>
        <w:jc w:val="left"/>
        <w:rPr>
          <w:sz w:val="20"/>
          <w:szCs w:val="20"/>
        </w:rPr>
      </w:pPr>
      <w:r>
        <w:rPr>
          <w:rStyle w:val="NoneA"/>
          <w:sz w:val="20"/>
          <w:szCs w:val="20"/>
        </w:rPr>
        <w:tab/>
        <w:t>Do not proceed with remaining work until workmanship, color, and sheen are approved by Architect.</w:t>
      </w:r>
    </w:p>
    <w:p>
      <w:pPr>
        <w:pStyle w:val="ARCATSubPara"/>
        <w:numPr>
          <w:ilvl w:val="3"/>
          <w:numId w:val="1"/>
        </w:numPr>
        <w:bidi w:val="0"/>
        <w:spacing w:before="0" w:after="0"/>
        <w:ind w:hanging="576" w:left="1728" w:right="0"/>
        <w:jc w:val="left"/>
        <w:rPr>
          <w:sz w:val="20"/>
          <w:szCs w:val="20"/>
        </w:rPr>
      </w:pPr>
      <w:r>
        <w:rPr>
          <w:rStyle w:val="NoneA"/>
          <w:sz w:val="20"/>
          <w:szCs w:val="20"/>
        </w:rPr>
        <w:tab/>
        <w:t>Repair and correct mock-up area as required to produce acceptable work.</w:t>
      </w:r>
    </w:p>
    <w:p>
      <w:pPr>
        <w:pStyle w:val="ARCATParagraph"/>
        <w:numPr>
          <w:ilvl w:val="2"/>
          <w:numId w:val="1"/>
        </w:numPr>
        <w:bidi w:val="0"/>
        <w:spacing w:before="200" w:after="0"/>
        <w:ind w:hanging="576" w:left="1152" w:right="0"/>
        <w:jc w:val="left"/>
        <w:rPr>
          <w:sz w:val="20"/>
          <w:szCs w:val="20"/>
        </w:rPr>
      </w:pPr>
      <w:r>
        <w:rPr>
          <w:rStyle w:val="NoneA"/>
          <w:sz w:val="20"/>
          <w:szCs w:val="20"/>
        </w:rPr>
        <w:tab/>
        <w:t>Design Requirements:</w:t>
      </w:r>
    </w:p>
    <w:p>
      <w:pPr>
        <w:pStyle w:val="ARCATSubPara"/>
        <w:numPr>
          <w:ilvl w:val="3"/>
          <w:numId w:val="1"/>
        </w:numPr>
        <w:bidi w:val="0"/>
        <w:spacing w:before="0" w:after="0"/>
        <w:ind w:hanging="576" w:left="1728" w:right="0"/>
        <w:jc w:val="left"/>
        <w:rPr>
          <w:sz w:val="20"/>
          <w:szCs w:val="20"/>
        </w:rPr>
      </w:pPr>
      <w:r>
        <w:rPr>
          <w:rStyle w:val="NoneA"/>
          <w:sz w:val="20"/>
          <w:szCs w:val="20"/>
        </w:rPr>
        <w:tab/>
        <w:t>Design window guards to provide for movement of components without damage, undue stress on fasteners or other detrimental effects, when subject to design loads.</w:t>
      </w:r>
    </w:p>
    <w:p>
      <w:pPr>
        <w:pStyle w:val="ARCATSubPara"/>
        <w:numPr>
          <w:ilvl w:val="3"/>
          <w:numId w:val="1"/>
        </w:numPr>
        <w:bidi w:val="0"/>
        <w:spacing w:before="0" w:after="200"/>
        <w:ind w:hanging="576" w:left="1728" w:right="0"/>
        <w:jc w:val="left"/>
        <w:rPr>
          <w:sz w:val="20"/>
          <w:szCs w:val="20"/>
        </w:rPr>
      </w:pPr>
      <w:r>
        <w:rPr>
          <w:rStyle w:val="NoneA"/>
          <w:sz w:val="20"/>
          <w:szCs w:val="20"/>
        </w:rPr>
        <w:tab/>
        <w:t>Design system to accommodate construction tolerances, deflection of building structural members, and clearances of intended openings.</w:t>
      </w:r>
    </w:p>
    <w:p>
      <w:pPr>
        <w:pStyle w:val="ARCATSubPara"/>
        <w:numPr>
          <w:ilvl w:val="2"/>
          <w:numId w:val="9"/>
        </w:numPr>
        <w:bidi w:val="0"/>
        <w:spacing w:before="120" w:after="200"/>
        <w:ind w:hanging="1195" w:left="1742" w:right="0"/>
        <w:jc w:val="left"/>
        <w:rPr>
          <w:sz w:val="20"/>
          <w:szCs w:val="20"/>
          <w:lang w:val="en-US"/>
        </w:rPr>
      </w:pPr>
      <w:r>
        <w:rPr>
          <w:rStyle w:val="NoneA"/>
          <w:sz w:val="20"/>
          <w:szCs w:val="20"/>
          <w:lang w:val="en-US"/>
        </w:rPr>
        <w:t xml:space="preserve">       </w:t>
      </w:r>
      <w:r>
        <w:rPr>
          <w:rStyle w:val="NoneA"/>
          <w:sz w:val="20"/>
          <w:szCs w:val="20"/>
          <w:lang w:val="en-US"/>
        </w:rPr>
        <w:t>Source Limitations: Obtain wire mesh items for single source from single manufacturer.</w:t>
      </w:r>
    </w:p>
    <w:p>
      <w:pPr>
        <w:pStyle w:val="ARCATArticle"/>
        <w:numPr>
          <w:ilvl w:val="1"/>
          <w:numId w:val="1"/>
        </w:numPr>
        <w:bidi w:val="0"/>
        <w:spacing w:before="200" w:after="0"/>
        <w:ind w:hanging="576" w:left="576" w:right="0"/>
        <w:jc w:val="left"/>
        <w:rPr>
          <w:sz w:val="20"/>
          <w:szCs w:val="20"/>
        </w:rPr>
      </w:pPr>
      <w:r>
        <w:rPr>
          <w:rStyle w:val="NoneA"/>
          <w:sz w:val="20"/>
          <w:szCs w:val="20"/>
        </w:rPr>
        <w:tab/>
        <w:t>DELIVERY, STORAGE, AND HANDLING</w:t>
      </w:r>
    </w:p>
    <w:p>
      <w:pPr>
        <w:pStyle w:val="ARCATParagraph"/>
        <w:numPr>
          <w:ilvl w:val="2"/>
          <w:numId w:val="1"/>
        </w:numPr>
        <w:bidi w:val="0"/>
        <w:spacing w:before="200" w:after="200"/>
        <w:ind w:hanging="576" w:left="1152" w:right="0"/>
        <w:jc w:val="left"/>
        <w:rPr>
          <w:sz w:val="20"/>
          <w:szCs w:val="20"/>
          <w:lang w:val="en-US"/>
        </w:rPr>
      </w:pPr>
      <w:r>
        <w:rPr>
          <w:rStyle w:val="NoneA"/>
          <w:sz w:val="20"/>
          <w:szCs w:val="20"/>
          <w:lang w:val="en-US"/>
        </w:rPr>
        <w:t xml:space="preserve">       </w:t>
      </w:r>
      <w:r>
        <w:rPr>
          <w:rStyle w:val="NoneA"/>
          <w:sz w:val="20"/>
          <w:szCs w:val="20"/>
          <w:lang w:val="en-US"/>
        </w:rPr>
        <w:t>Store products in manufacturer's unopened packaging until ready for installation.</w:t>
      </w:r>
    </w:p>
    <w:p>
      <w:pPr>
        <w:pStyle w:val="ARCATnote"/>
        <w:rPr>
          <w:rStyle w:val="None"/>
          <w:outline w:val="false"/>
          <w:color w:val="FF0000"/>
          <w:u w:val="none" w:color="FF0000"/>
        </w:rPr>
      </w:pPr>
      <w:r>
        <w:rPr>
          <w:rStyle w:val="None"/>
          <w:outline w:val="false"/>
          <w:color w:val="FF0000"/>
          <w:u w:val="none" w:color="FF0000"/>
          <w:lang w:val="en-US"/>
        </w:rPr>
        <w:t>** NOTE TO SPECIFIER ** Delete items below not required for project. Wrapping and packaging as detailed below may require additional costs.</w:t>
      </w:r>
    </w:p>
    <w:p>
      <w:pPr>
        <w:pStyle w:val="ARCATParagraph"/>
        <w:numPr>
          <w:ilvl w:val="3"/>
          <w:numId w:val="10"/>
        </w:numPr>
        <w:bidi w:val="0"/>
        <w:spacing w:before="200" w:after="200"/>
        <w:ind w:hanging="540" w:left="1710" w:right="0"/>
        <w:jc w:val="left"/>
        <w:rPr>
          <w:sz w:val="20"/>
          <w:szCs w:val="20"/>
          <w:lang w:val="en-US"/>
        </w:rPr>
      </w:pPr>
      <w:r>
        <w:rPr>
          <w:rStyle w:val="NoneA"/>
          <w:sz w:val="20"/>
          <w:szCs w:val="20"/>
          <w:lang w:val="en-US"/>
        </w:rPr>
        <w:t xml:space="preserve">       </w:t>
      </w:r>
      <w:r>
        <w:rPr>
          <w:rStyle w:val="NoneA"/>
          <w:sz w:val="20"/>
          <w:szCs w:val="20"/>
          <w:lang w:val="en-US"/>
        </w:rPr>
        <w:t>Materials may ship uncrated per Manufacturer’s recommendation in order to maximize volume on common carrier and to reduce freight cost.</w:t>
      </w:r>
    </w:p>
    <w:p>
      <w:pPr>
        <w:pStyle w:val="ARCATParagraph"/>
        <w:numPr>
          <w:ilvl w:val="3"/>
          <w:numId w:val="11"/>
        </w:numPr>
        <w:bidi w:val="0"/>
        <w:spacing w:before="200" w:after="200"/>
        <w:ind w:hanging="558" w:left="1710" w:right="0"/>
        <w:jc w:val="left"/>
        <w:rPr>
          <w:sz w:val="20"/>
          <w:szCs w:val="20"/>
          <w:lang w:val="en-US"/>
        </w:rPr>
      </w:pPr>
      <w:r>
        <w:rPr>
          <w:rStyle w:val="NoneA"/>
          <w:sz w:val="20"/>
          <w:szCs w:val="20"/>
          <w:lang w:val="en-US"/>
        </w:rPr>
        <w:t xml:space="preserve">       </w:t>
      </w:r>
      <w:r>
        <w:rPr>
          <w:rStyle w:val="NoneA"/>
          <w:sz w:val="20"/>
          <w:szCs w:val="20"/>
          <w:lang w:val="en-US"/>
        </w:rPr>
        <w:t>Materials to be crated or palletized with cardboard protectors on perimeters of panels and doors and strapped using nylon materials within crating. Crates are non-returnable and the responsibility of the customer for proper disposal.</w:t>
      </w:r>
    </w:p>
    <w:p>
      <w:pPr>
        <w:pStyle w:val="ARCATParagraph"/>
        <w:numPr>
          <w:ilvl w:val="2"/>
          <w:numId w:val="1"/>
        </w:numPr>
        <w:bidi w:val="0"/>
        <w:spacing w:before="200" w:after="0"/>
        <w:ind w:hanging="576" w:left="1152" w:right="0"/>
        <w:jc w:val="left"/>
        <w:rPr>
          <w:sz w:val="20"/>
          <w:szCs w:val="20"/>
          <w:lang w:val="en-US"/>
        </w:rPr>
      </w:pPr>
      <w:r>
        <w:rPr>
          <w:rStyle w:val="NoneA"/>
          <w:sz w:val="20"/>
          <w:szCs w:val="20"/>
          <w:lang w:val="en-US"/>
        </w:rPr>
        <w:t xml:space="preserve">       </w:t>
      </w:r>
      <w:r>
        <w:rPr>
          <w:rStyle w:val="NoneA"/>
          <w:sz w:val="20"/>
          <w:szCs w:val="20"/>
          <w:lang w:val="en-US"/>
        </w:rPr>
        <w:t>Store products in manufacturer’s unopened packaging until ready for installation.</w:t>
      </w:r>
    </w:p>
    <w:p>
      <w:pPr>
        <w:pStyle w:val="ARCATArticle"/>
        <w:numPr>
          <w:ilvl w:val="1"/>
          <w:numId w:val="1"/>
        </w:numPr>
        <w:bidi w:val="0"/>
        <w:spacing w:before="200" w:after="0"/>
        <w:ind w:hanging="576" w:left="576" w:right="0"/>
        <w:jc w:val="left"/>
        <w:rPr>
          <w:sz w:val="20"/>
          <w:szCs w:val="20"/>
        </w:rPr>
      </w:pPr>
      <w:r>
        <w:rPr>
          <w:rStyle w:val="NoneA"/>
          <w:sz w:val="20"/>
          <w:szCs w:val="20"/>
        </w:rPr>
        <w:tab/>
        <w:t>PROJECT CONDITIONS</w:t>
      </w:r>
    </w:p>
    <w:p>
      <w:pPr>
        <w:pStyle w:val="ARCATParagraph"/>
        <w:numPr>
          <w:ilvl w:val="2"/>
          <w:numId w:val="1"/>
        </w:numPr>
        <w:bidi w:val="0"/>
        <w:spacing w:before="200" w:after="0"/>
        <w:ind w:hanging="576" w:left="1152" w:right="0"/>
        <w:jc w:val="left"/>
        <w:rPr>
          <w:sz w:val="20"/>
          <w:szCs w:val="20"/>
        </w:rPr>
      </w:pPr>
      <w:r>
        <w:rPr>
          <w:rStyle w:val="NoneA"/>
          <w:sz w:val="20"/>
          <w:szCs w:val="20"/>
        </w:rPr>
        <w:tab/>
        <w:t>Field Measurements: Customer to verify actual dimensions of construction contiguous with wire mesh units by field measurement before fabrication.</w:t>
      </w:r>
    </w:p>
    <w:p>
      <w:pPr>
        <w:pStyle w:val="ARCATParagraph"/>
        <w:numPr>
          <w:ilvl w:val="2"/>
          <w:numId w:val="1"/>
        </w:numPr>
        <w:bidi w:val="0"/>
        <w:spacing w:before="0" w:after="0"/>
        <w:ind w:hanging="576" w:left="1152" w:right="0"/>
        <w:jc w:val="left"/>
        <w:rPr>
          <w:sz w:val="20"/>
          <w:szCs w:val="20"/>
          <w:lang w:val="en-US"/>
        </w:rPr>
      </w:pPr>
      <w:r>
        <w:rPr>
          <w:rStyle w:val="NoneA"/>
          <w:sz w:val="20"/>
          <w:szCs w:val="20"/>
          <w:lang w:val="en-US"/>
        </w:rPr>
        <w:t xml:space="preserve">       </w:t>
      </w:r>
      <w:r>
        <w:rPr>
          <w:rStyle w:val="NoneA"/>
          <w:sz w:val="20"/>
          <w:szCs w:val="20"/>
          <w:lang w:val="en-US"/>
        </w:rPr>
        <w:t>Maintain environmental conditions (temperature, humidity, and ventilation) within limits recommended by manufacturer for optimum results.  Do not install products under environmental conditions outside manufacturer's absolute limits.</w:t>
      </w:r>
    </w:p>
    <w:p>
      <w:pPr>
        <w:pStyle w:val="ARCATPart"/>
        <w:numPr>
          <w:ilvl w:val="0"/>
          <w:numId w:val="1"/>
        </w:numPr>
        <w:bidi w:val="0"/>
        <w:spacing w:before="200" w:after="0"/>
        <w:ind w:hanging="576" w:left="576" w:right="0"/>
        <w:jc w:val="left"/>
        <w:rPr>
          <w:sz w:val="20"/>
          <w:szCs w:val="20"/>
          <w:lang w:val="en-US"/>
        </w:rPr>
      </w:pPr>
      <w:r>
        <w:rPr>
          <w:rStyle w:val="NoneA"/>
          <w:sz w:val="20"/>
          <w:szCs w:val="20"/>
          <w:lang w:val="en-US"/>
        </w:rPr>
        <w:t xml:space="preserve">  </w:t>
      </w:r>
      <w:r>
        <w:rPr>
          <w:rStyle w:val="NoneA"/>
          <w:sz w:val="20"/>
          <w:szCs w:val="20"/>
          <w:lang w:val="en-US"/>
        </w:rPr>
        <w:t>PRODUCTS</w:t>
      </w:r>
    </w:p>
    <w:p>
      <w:pPr>
        <w:pStyle w:val="ARCATArticle"/>
        <w:numPr>
          <w:ilvl w:val="1"/>
          <w:numId w:val="1"/>
        </w:numPr>
        <w:bidi w:val="0"/>
        <w:spacing w:before="200" w:after="0"/>
        <w:ind w:hanging="576" w:left="576" w:right="0"/>
        <w:jc w:val="left"/>
        <w:rPr>
          <w:sz w:val="20"/>
          <w:szCs w:val="20"/>
        </w:rPr>
      </w:pPr>
      <w:r>
        <w:rPr>
          <w:rStyle w:val="NoneA"/>
          <w:sz w:val="20"/>
          <w:szCs w:val="20"/>
        </w:rPr>
        <w:tab/>
        <w:t>MANUFACTURERS</w:t>
      </w:r>
    </w:p>
    <w:p>
      <w:pPr>
        <w:pStyle w:val="ARCATParagraph"/>
        <w:numPr>
          <w:ilvl w:val="2"/>
          <w:numId w:val="1"/>
        </w:numPr>
        <w:bidi w:val="0"/>
        <w:spacing w:before="200" w:after="200"/>
        <w:ind w:hanging="576" w:left="1152" w:right="0"/>
        <w:jc w:val="left"/>
        <w:rPr>
          <w:sz w:val="20"/>
          <w:szCs w:val="20"/>
        </w:rPr>
      </w:pPr>
      <w:r>
        <w:rPr>
          <w:rStyle w:val="NoneA"/>
          <w:sz w:val="20"/>
          <w:szCs w:val="20"/>
        </w:rPr>
        <w:tab/>
        <w:t xml:space="preserve">Acceptable Manufacturers: Active members, in good standing, with the Woven Wire Products Association (WWPA), </w:t>
      </w:r>
      <w:hyperlink r:id="rId4">
        <w:r>
          <w:rPr>
            <w:rStyle w:val="Style9"/>
            <w:outline w:val="false"/>
            <w:color w:val="0563C1"/>
            <w:sz w:val="20"/>
            <w:szCs w:val="20"/>
            <w:u w:val="single" w:color="0563C1"/>
            <w:lang w:val="en-US"/>
          </w:rPr>
          <w:t>www.wovenwire.org</w:t>
        </w:r>
      </w:hyperlink>
      <w:r>
        <w:rPr>
          <w:rStyle w:val="NoneA"/>
          <w:sz w:val="20"/>
          <w:szCs w:val="20"/>
          <w:lang w:val="en-US"/>
        </w:rPr>
        <w:t xml:space="preserve">: </w:t>
      </w:r>
    </w:p>
    <w:p>
      <w:pPr>
        <w:pStyle w:val="ARCATnote"/>
        <w:rPr>
          <w:rStyle w:val="None"/>
          <w:outline w:val="false"/>
          <w:color w:val="FF0000"/>
          <w:u w:val="none" w:color="FF0000"/>
        </w:rPr>
      </w:pPr>
      <w:r>
        <w:rPr>
          <w:rStyle w:val="None"/>
          <w:outline w:val="false"/>
          <w:color w:val="FF0000"/>
          <w:u w:val="none" w:color="FF0000"/>
          <w:lang w:val="en-US"/>
        </w:rPr>
        <w:t>** NOTE TO SPECIFIER ** We suggest you verify the member is still in good standing to be considered for solicitation by reviewing our active member list at www.wovenwire.org</w:t>
      </w:r>
    </w:p>
    <w:p>
      <w:pPr>
        <w:pStyle w:val="BodyA"/>
        <w:widowControl w:val="false"/>
        <w:numPr>
          <w:ilvl w:val="3"/>
          <w:numId w:val="12"/>
        </w:numPr>
        <w:bidi w:val="0"/>
        <w:spacing w:lineRule="auto" w:line="240" w:before="20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Apex Iron Works</w:t>
        <w:tab/>
      </w:r>
    </w:p>
    <w:p>
      <w:pPr>
        <w:pStyle w:val="BodyA"/>
        <w:widowControl w:val="false"/>
        <w:numPr>
          <w:ilvl w:val="3"/>
          <w:numId w:val="13"/>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G-S Company, The</w:t>
      </w:r>
    </w:p>
    <w:p>
      <w:pPr>
        <w:pStyle w:val="BodyA"/>
        <w:widowControl w:val="false"/>
        <w:numPr>
          <w:ilvl w:val="3"/>
          <w:numId w:val="14"/>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Newark Wire Works, Inc.</w:t>
      </w:r>
    </w:p>
    <w:p>
      <w:pPr>
        <w:pStyle w:val="BodyA"/>
        <w:widowControl w:val="false"/>
        <w:numPr>
          <w:ilvl w:val="3"/>
          <w:numId w:val="15"/>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SpaceGuard Products, Inc.</w:t>
      </w:r>
    </w:p>
    <w:p>
      <w:pPr>
        <w:pStyle w:val="BodyA"/>
        <w:widowControl w:val="false"/>
        <w:numPr>
          <w:ilvl w:val="3"/>
          <w:numId w:val="16"/>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Wire &amp; Iron Products (WIPCO), a Division of Jesco Industries, Inc.</w:t>
      </w:r>
    </w:p>
    <w:p>
      <w:pPr>
        <w:pStyle w:val="ARCATParagraph"/>
        <w:numPr>
          <w:ilvl w:val="2"/>
          <w:numId w:val="1"/>
        </w:numPr>
        <w:bidi w:val="0"/>
        <w:spacing w:before="200" w:after="0"/>
        <w:ind w:hanging="576" w:left="1152" w:right="0"/>
        <w:jc w:val="left"/>
        <w:rPr>
          <w:sz w:val="20"/>
          <w:szCs w:val="20"/>
        </w:rPr>
      </w:pPr>
      <w:r>
        <w:rPr>
          <w:rStyle w:val="NoneA"/>
          <w:sz w:val="20"/>
          <w:szCs w:val="20"/>
        </w:rPr>
        <w:tab/>
        <w:t>Substitutions:  Not permitted if only considering materials certified by the Woven Wire Products Association</w:t>
      </w:r>
    </w:p>
    <w:p>
      <w:pPr>
        <w:pStyle w:val="ARCATArticle"/>
        <w:numPr>
          <w:ilvl w:val="1"/>
          <w:numId w:val="1"/>
        </w:numPr>
        <w:bidi w:val="0"/>
        <w:spacing w:before="200" w:after="0"/>
        <w:ind w:hanging="576" w:left="576" w:right="0"/>
        <w:jc w:val="left"/>
        <w:rPr>
          <w:sz w:val="20"/>
          <w:szCs w:val="20"/>
        </w:rPr>
      </w:pPr>
      <w:r>
        <w:rPr>
          <w:rStyle w:val="NoneA"/>
          <w:sz w:val="20"/>
          <w:szCs w:val="20"/>
        </w:rPr>
        <w:tab/>
        <w:t>MATERIALS</w:t>
      </w:r>
    </w:p>
    <w:p>
      <w:pPr>
        <w:pStyle w:val="ARCATParagraph"/>
        <w:numPr>
          <w:ilvl w:val="2"/>
          <w:numId w:val="1"/>
        </w:numPr>
        <w:bidi w:val="0"/>
        <w:spacing w:before="200" w:after="0"/>
        <w:ind w:hanging="576" w:left="1152" w:right="0"/>
        <w:jc w:val="left"/>
        <w:rPr>
          <w:sz w:val="20"/>
          <w:szCs w:val="20"/>
        </w:rPr>
      </w:pPr>
      <w:r>
        <w:rPr>
          <w:rStyle w:val="NoneA"/>
          <w:sz w:val="20"/>
          <w:szCs w:val="20"/>
        </w:rPr>
        <w:tab/>
        <w:t>Steel Wire: ASTM A 510 (ASTM A 510M).</w:t>
      </w:r>
    </w:p>
    <w:p>
      <w:pPr>
        <w:pStyle w:val="ARCATParagraph"/>
        <w:numPr>
          <w:ilvl w:val="2"/>
          <w:numId w:val="1"/>
        </w:numPr>
        <w:bidi w:val="0"/>
        <w:spacing w:before="0" w:after="0"/>
        <w:ind w:hanging="576" w:left="1152" w:right="0"/>
        <w:jc w:val="left"/>
        <w:rPr>
          <w:sz w:val="20"/>
          <w:szCs w:val="20"/>
          <w:lang w:val="en-US"/>
        </w:rPr>
      </w:pPr>
      <w:r>
        <w:rPr>
          <w:rStyle w:val="NoneA"/>
          <w:sz w:val="20"/>
          <w:szCs w:val="20"/>
          <w:lang w:val="en-US"/>
        </w:rPr>
        <w:t xml:space="preserve">       </w:t>
      </w:r>
      <w:r>
        <w:rPr>
          <w:rStyle w:val="NoneA"/>
          <w:sz w:val="20"/>
          <w:szCs w:val="20"/>
          <w:lang w:val="en-US"/>
        </w:rPr>
        <w:t>Steel Plates, Channels, Angles, and Bars: ASTM A 36/A 36M.</w:t>
      </w:r>
    </w:p>
    <w:p>
      <w:pPr>
        <w:pStyle w:val="ARCATParagraph"/>
        <w:numPr>
          <w:ilvl w:val="2"/>
          <w:numId w:val="1"/>
        </w:numPr>
        <w:bidi w:val="0"/>
        <w:spacing w:before="0" w:after="0"/>
        <w:ind w:hanging="576" w:left="1152" w:right="0"/>
        <w:jc w:val="left"/>
        <w:rPr>
          <w:sz w:val="20"/>
          <w:szCs w:val="20"/>
          <w:lang w:val="en-US"/>
        </w:rPr>
      </w:pPr>
      <w:r>
        <w:rPr>
          <w:rStyle w:val="NoneA"/>
          <w:sz w:val="20"/>
          <w:szCs w:val="20"/>
          <w:lang w:val="en-US"/>
        </w:rPr>
        <w:t xml:space="preserve">       </w:t>
      </w:r>
      <w:r>
        <w:rPr>
          <w:rStyle w:val="NoneA"/>
          <w:sz w:val="20"/>
          <w:szCs w:val="20"/>
          <w:lang w:val="en-US"/>
        </w:rPr>
        <w:t>Cold-Rolled Steel Sheet: ASTM A 1008/A 1008M, Commercial Steel (CS), Type B.</w:t>
      </w:r>
    </w:p>
    <w:p>
      <w:pPr>
        <w:pStyle w:val="ARCATParagraph"/>
        <w:numPr>
          <w:ilvl w:val="2"/>
          <w:numId w:val="1"/>
        </w:numPr>
        <w:bidi w:val="0"/>
        <w:spacing w:before="0" w:after="0"/>
        <w:ind w:hanging="576" w:left="1152" w:right="0"/>
        <w:jc w:val="left"/>
        <w:rPr>
          <w:sz w:val="20"/>
          <w:szCs w:val="20"/>
          <w:lang w:val="en-US"/>
        </w:rPr>
      </w:pPr>
      <w:r>
        <w:rPr>
          <w:rStyle w:val="NoneA"/>
          <w:sz w:val="20"/>
          <w:szCs w:val="20"/>
          <w:lang w:val="en-US"/>
        </w:rPr>
        <w:t xml:space="preserve">       </w:t>
      </w:r>
      <w:r>
        <w:rPr>
          <w:rStyle w:val="NoneA"/>
          <w:sz w:val="20"/>
          <w:szCs w:val="20"/>
          <w:lang w:val="en-US"/>
        </w:rPr>
        <w:t>Square Steel Tubing: ASTM A 500, cold-formed structural steel tubing.</w:t>
      </w:r>
    </w:p>
    <w:p>
      <w:pPr>
        <w:pStyle w:val="ARCATParagraph"/>
        <w:numPr>
          <w:ilvl w:val="2"/>
          <w:numId w:val="1"/>
        </w:numPr>
        <w:bidi w:val="0"/>
        <w:spacing w:before="0" w:after="0"/>
        <w:ind w:hanging="576" w:left="1152" w:right="0"/>
        <w:jc w:val="left"/>
        <w:rPr>
          <w:sz w:val="20"/>
          <w:szCs w:val="20"/>
          <w:lang w:val="en-US"/>
        </w:rPr>
      </w:pPr>
      <w:r>
        <w:rPr>
          <w:rStyle w:val="NoneA"/>
          <w:sz w:val="20"/>
          <w:szCs w:val="20"/>
          <w:lang w:val="en-US"/>
        </w:rPr>
        <w:t xml:space="preserve">       </w:t>
      </w:r>
      <w:r>
        <w:rPr>
          <w:rStyle w:val="NoneA"/>
          <w:sz w:val="20"/>
          <w:szCs w:val="20"/>
          <w:lang w:val="en-US"/>
        </w:rPr>
        <w:t>Panel-to-Panel Fasteners: Manufacturer’s standard steel bolts, nuts, and washers.</w:t>
      </w:r>
    </w:p>
    <w:p>
      <w:pPr>
        <w:pStyle w:val="ARCATParagraph"/>
        <w:numPr>
          <w:ilvl w:val="2"/>
          <w:numId w:val="1"/>
        </w:numPr>
        <w:bidi w:val="0"/>
        <w:spacing w:before="0" w:after="200"/>
        <w:ind w:hanging="576" w:left="1152" w:right="0"/>
        <w:jc w:val="left"/>
        <w:rPr>
          <w:sz w:val="20"/>
          <w:szCs w:val="20"/>
          <w:lang w:val="en-US"/>
        </w:rPr>
      </w:pPr>
      <w:r>
        <w:rPr>
          <w:rStyle w:val="NoneA"/>
          <w:sz w:val="20"/>
          <w:szCs w:val="20"/>
          <w:lang w:val="en-US"/>
        </w:rPr>
        <w:t xml:space="preserve">       </w:t>
      </w:r>
      <w:r>
        <w:rPr>
          <w:rStyle w:val="NoneA"/>
          <w:sz w:val="20"/>
          <w:szCs w:val="20"/>
          <w:lang w:val="en-US"/>
        </w:rPr>
        <w:t>Postinstalled Expansion Anchors: With capability to sustain, without failure, load imposed within factors of safety indicated, as determined by testing per ASTM E 488, conducted by a qualified independent testing agency.</w:t>
      </w:r>
    </w:p>
    <w:p>
      <w:pPr>
        <w:pStyle w:val="ARCATParagraph"/>
        <w:numPr>
          <w:ilvl w:val="3"/>
          <w:numId w:val="17"/>
        </w:numPr>
        <w:bidi w:val="0"/>
        <w:spacing w:before="200" w:after="0"/>
        <w:ind w:hanging="540" w:left="1710" w:right="0"/>
        <w:jc w:val="left"/>
        <w:rPr>
          <w:sz w:val="20"/>
          <w:szCs w:val="20"/>
        </w:rPr>
      </w:pPr>
      <w:r>
        <w:rPr>
          <w:rStyle w:val="NoneA"/>
          <w:sz w:val="20"/>
          <w:szCs w:val="20"/>
        </w:rPr>
        <w:tab/>
        <w:t>Carbon steel: Zinc plated to comply with ASTM B 633, Class Fe/Zn 5 (0.005 mm) for Class SC 1 service condition (mild)</w:t>
      </w:r>
    </w:p>
    <w:p>
      <w:pPr>
        <w:pStyle w:val="ARCATParagraph"/>
        <w:numPr>
          <w:ilvl w:val="3"/>
          <w:numId w:val="18"/>
        </w:numPr>
        <w:bidi w:val="0"/>
        <w:spacing w:before="0" w:after="200"/>
        <w:ind w:hanging="540" w:left="1710" w:right="0"/>
        <w:jc w:val="left"/>
        <w:rPr>
          <w:sz w:val="20"/>
          <w:szCs w:val="20"/>
        </w:rPr>
      </w:pPr>
      <w:r>
        <w:rPr>
          <w:rStyle w:val="NoneA"/>
          <w:sz w:val="20"/>
          <w:szCs w:val="20"/>
        </w:rPr>
        <w:tab/>
        <w:t xml:space="preserve">For Postinstalled Anchors in Concrete: Capability to sustain, without failure, a load equal to four times the loads imposed.            </w:t>
      </w:r>
    </w:p>
    <w:p>
      <w:pPr>
        <w:pStyle w:val="ARCATArticle"/>
        <w:numPr>
          <w:ilvl w:val="1"/>
          <w:numId w:val="1"/>
        </w:numPr>
        <w:bidi w:val="0"/>
        <w:spacing w:before="200" w:after="200"/>
        <w:ind w:hanging="576" w:left="576" w:right="0"/>
        <w:jc w:val="left"/>
        <w:rPr>
          <w:sz w:val="20"/>
          <w:szCs w:val="20"/>
          <w:lang w:val="en-US"/>
        </w:rPr>
      </w:pPr>
      <w:r>
        <w:rPr>
          <w:rStyle w:val="NoneA"/>
          <w:sz w:val="20"/>
          <w:szCs w:val="20"/>
          <w:lang w:val="en-US"/>
        </w:rPr>
        <w:t xml:space="preserve">    </w:t>
      </w:r>
      <w:r>
        <w:rPr>
          <w:rStyle w:val="NoneA"/>
          <w:sz w:val="20"/>
          <w:szCs w:val="20"/>
          <w:lang w:val="en-US"/>
        </w:rPr>
        <w:t>PRODUCT</w:t>
      </w:r>
    </w:p>
    <w:p>
      <w:pPr>
        <w:pStyle w:val="ARCATParagraph"/>
        <w:numPr>
          <w:ilvl w:val="2"/>
          <w:numId w:val="19"/>
        </w:numPr>
        <w:bidi w:val="0"/>
        <w:spacing w:before="200" w:after="0"/>
        <w:ind w:hanging="630" w:left="1170" w:right="0"/>
        <w:jc w:val="left"/>
        <w:rPr>
          <w:sz w:val="20"/>
          <w:szCs w:val="20"/>
        </w:rPr>
      </w:pPr>
      <w:r>
        <w:rPr>
          <w:rStyle w:val="NoneA"/>
          <w:sz w:val="20"/>
          <w:szCs w:val="20"/>
        </w:rPr>
        <w:tab/>
        <w:t>Mesh:  No. 6 gauge, steel wire triple crimped and woven into 2 inch diamond or 2 inch square mesh pattern.</w:t>
      </w:r>
    </w:p>
    <w:p>
      <w:pPr>
        <w:pStyle w:val="ARCATSubPara"/>
        <w:numPr>
          <w:ilvl w:val="2"/>
          <w:numId w:val="20"/>
        </w:numPr>
        <w:bidi w:val="0"/>
        <w:spacing w:before="120" w:after="0"/>
        <w:ind w:hanging="630" w:left="1170" w:right="0"/>
        <w:jc w:val="left"/>
        <w:rPr>
          <w:sz w:val="20"/>
          <w:szCs w:val="20"/>
          <w:lang w:val="en-US"/>
        </w:rPr>
      </w:pPr>
      <w:r>
        <w:rPr>
          <w:rStyle w:val="NoneA"/>
          <w:sz w:val="20"/>
          <w:szCs w:val="20"/>
          <w:lang w:val="en-US"/>
        </w:rPr>
        <w:t xml:space="preserve">        </w:t>
      </w:r>
      <w:r>
        <w:rPr>
          <w:rStyle w:val="NoneA"/>
          <w:sz w:val="20"/>
          <w:szCs w:val="20"/>
          <w:lang w:val="en-US"/>
        </w:rPr>
        <w:t xml:space="preserve">Horizontal Frames:  1-1/2 inch by 3/4 inch - 11 gauge or thicker steel channel.  </w:t>
      </w:r>
    </w:p>
    <w:p>
      <w:pPr>
        <w:pStyle w:val="ARCATSubPara"/>
        <w:numPr>
          <w:ilvl w:val="2"/>
          <w:numId w:val="21"/>
        </w:numPr>
        <w:bidi w:val="0"/>
        <w:spacing w:before="0" w:after="0"/>
        <w:ind w:hanging="630" w:left="1170" w:right="0"/>
        <w:jc w:val="left"/>
        <w:rPr>
          <w:sz w:val="20"/>
          <w:szCs w:val="20"/>
        </w:rPr>
      </w:pPr>
      <w:r>
        <w:rPr>
          <w:rStyle w:val="NoneA"/>
          <w:sz w:val="20"/>
          <w:szCs w:val="20"/>
        </w:rPr>
        <w:tab/>
        <w:t>Vertical Frames:  1-1/2 inch by 3/4 inch - 11 gauge or thicker roll formed "C" type steel channels.  Series of slotted holes for securing to adjacent panels and post.</w:t>
      </w:r>
    </w:p>
    <w:p>
      <w:pPr>
        <w:pStyle w:val="ARCATSubPara"/>
        <w:numPr>
          <w:ilvl w:val="2"/>
          <w:numId w:val="22"/>
        </w:numPr>
        <w:bidi w:val="0"/>
        <w:spacing w:before="0" w:after="0"/>
        <w:ind w:hanging="630" w:left="1170" w:right="0"/>
        <w:jc w:val="left"/>
        <w:rPr>
          <w:sz w:val="20"/>
          <w:szCs w:val="20"/>
        </w:rPr>
      </w:pPr>
      <w:r>
        <w:rPr>
          <w:rStyle w:val="NoneA"/>
          <w:sz w:val="20"/>
          <w:szCs w:val="20"/>
        </w:rPr>
        <w:tab/>
        <w:t xml:space="preserve">Horizontal Reinforcement Members:  Two 1 inch by 1/2 inch or greater -  11 gauge or thicker steel channel toe riveted or bolted together through mesh and welded to vertical frames. </w:t>
      </w:r>
    </w:p>
    <w:p>
      <w:pPr>
        <w:pStyle w:val="ARCATSubPara"/>
        <w:numPr>
          <w:ilvl w:val="2"/>
          <w:numId w:val="23"/>
        </w:numPr>
        <w:bidi w:val="0"/>
        <w:spacing w:before="0" w:after="0"/>
        <w:ind w:hanging="630" w:left="1170" w:right="0"/>
        <w:jc w:val="left"/>
        <w:rPr>
          <w:sz w:val="20"/>
          <w:szCs w:val="20"/>
          <w:lang w:val="en-US"/>
        </w:rPr>
      </w:pPr>
      <w:r>
        <w:rPr>
          <w:rStyle w:val="NoneA"/>
          <w:sz w:val="20"/>
          <w:szCs w:val="20"/>
          <w:lang w:val="en-US"/>
        </w:rPr>
        <w:t xml:space="preserve">        </w:t>
      </w:r>
      <w:r>
        <w:rPr>
          <w:rStyle w:val="NoneA"/>
          <w:sz w:val="20"/>
          <w:szCs w:val="20"/>
          <w:lang w:val="en-US"/>
        </w:rPr>
        <w:t xml:space="preserve">Panels:  Single panels are made up to 60 inches wide and 144 inches high.  Consisting of the above horizontal and vertical members mortised and tenoned at corners with diamond mesh securely attached to frames.  Center reinforcement bars attached, as noted.  </w:t>
      </w:r>
    </w:p>
    <w:p>
      <w:pPr>
        <w:pStyle w:val="ARCATSubPara"/>
        <w:numPr>
          <w:ilvl w:val="2"/>
          <w:numId w:val="24"/>
        </w:numPr>
        <w:bidi w:val="0"/>
        <w:spacing w:before="0" w:after="200"/>
        <w:ind w:hanging="630" w:left="1170" w:right="0"/>
        <w:jc w:val="left"/>
        <w:rPr>
          <w:sz w:val="20"/>
          <w:szCs w:val="20"/>
        </w:rPr>
      </w:pPr>
      <w:r>
        <w:rPr>
          <w:rStyle w:val="NoneA"/>
          <w:sz w:val="20"/>
          <w:szCs w:val="20"/>
        </w:rPr>
        <w:tab/>
        <w:t xml:space="preserve">Jambs: Minimum 1-1/4 inch by 1-1/4 inch by 1/8 inch angle with minimum 5/16 inch bolt holes for anchorage at a minimum spacing of 24 inch centers </w:t>
      </w:r>
    </w:p>
    <w:p>
      <w:pPr>
        <w:pStyle w:val="ARCATnote"/>
        <w:rPr>
          <w:rStyle w:val="None"/>
          <w:outline w:val="false"/>
          <w:color w:val="FF0000"/>
          <w:u w:val="none" w:color="FF0000"/>
        </w:rPr>
      </w:pPr>
      <w:r>
        <w:rPr>
          <w:rStyle w:val="None"/>
          <w:outline w:val="false"/>
          <w:color w:val="FF0000"/>
          <w:u w:val="none" w:color="FF0000"/>
          <w:lang w:val="en-US"/>
        </w:rPr>
        <w:t>** NOTE TO SPECIFIER ** Delete Guard Types not required</w:t>
      </w:r>
    </w:p>
    <w:p>
      <w:pPr>
        <w:pStyle w:val="ARCATSubPara"/>
        <w:numPr>
          <w:ilvl w:val="2"/>
          <w:numId w:val="25"/>
        </w:numPr>
        <w:bidi w:val="0"/>
        <w:spacing w:before="120" w:after="0"/>
        <w:ind w:hanging="630" w:left="1170" w:right="0"/>
        <w:jc w:val="left"/>
        <w:rPr>
          <w:sz w:val="20"/>
          <w:szCs w:val="20"/>
        </w:rPr>
      </w:pPr>
      <w:r>
        <w:rPr>
          <w:rStyle w:val="NoneA"/>
          <w:sz w:val="20"/>
          <w:szCs w:val="20"/>
        </w:rPr>
        <w:tab/>
        <w:t>Fixed Type</w:t>
      </w:r>
    </w:p>
    <w:p>
      <w:pPr>
        <w:pStyle w:val="ARCATSubPara"/>
        <w:numPr>
          <w:ilvl w:val="2"/>
          <w:numId w:val="26"/>
        </w:numPr>
        <w:bidi w:val="0"/>
        <w:spacing w:before="0" w:after="0"/>
        <w:ind w:hanging="630" w:left="1170" w:right="0"/>
        <w:jc w:val="left"/>
        <w:rPr>
          <w:sz w:val="20"/>
          <w:szCs w:val="20"/>
          <w:lang w:val="en-US"/>
        </w:rPr>
      </w:pPr>
      <w:r>
        <w:rPr>
          <w:rStyle w:val="NoneA"/>
          <w:sz w:val="20"/>
          <w:szCs w:val="20"/>
          <w:lang w:val="en-US"/>
        </w:rPr>
        <w:t xml:space="preserve">        </w:t>
      </w:r>
      <w:r>
        <w:rPr>
          <w:rStyle w:val="NoneA"/>
          <w:sz w:val="20"/>
          <w:szCs w:val="20"/>
          <w:lang w:val="en-US"/>
        </w:rPr>
        <w:t>Lift-Out Type: Pin, hasp and staple type; or, cradled angle also acceptable</w:t>
      </w:r>
    </w:p>
    <w:p>
      <w:pPr>
        <w:pStyle w:val="ARCATSubPara"/>
        <w:numPr>
          <w:ilvl w:val="2"/>
          <w:numId w:val="27"/>
        </w:numPr>
        <w:bidi w:val="0"/>
        <w:spacing w:before="0" w:after="200"/>
        <w:ind w:hanging="630" w:left="1170" w:right="0"/>
        <w:jc w:val="left"/>
        <w:rPr>
          <w:sz w:val="20"/>
          <w:szCs w:val="20"/>
          <w:lang w:val="en-US"/>
        </w:rPr>
      </w:pPr>
      <w:r>
        <w:rPr>
          <w:rStyle w:val="NoneA"/>
          <w:sz w:val="20"/>
          <w:szCs w:val="20"/>
          <w:lang w:val="en-US"/>
        </w:rPr>
        <w:t xml:space="preserve">        </w:t>
      </w:r>
      <w:r>
        <w:rPr>
          <w:rStyle w:val="NoneA"/>
          <w:sz w:val="20"/>
          <w:szCs w:val="20"/>
          <w:lang w:val="en-US"/>
        </w:rPr>
        <w:t>Hinge-Type Guards:  Provide emergency exit devices per code based upon customer security and exiting requirements</w:t>
      </w:r>
    </w:p>
    <w:p>
      <w:pPr>
        <w:pStyle w:val="ARCATnote"/>
        <w:rPr>
          <w:rStyle w:val="None"/>
          <w:outline w:val="false"/>
          <w:color w:val="FF0000"/>
          <w:u w:val="none" w:color="FF0000"/>
        </w:rPr>
      </w:pPr>
      <w:r>
        <w:rPr>
          <w:rStyle w:val="None"/>
          <w:outline w:val="false"/>
          <w:color w:val="FF0000"/>
          <w:u w:val="none" w:color="FF0000"/>
          <w:lang w:val="en-US"/>
        </w:rPr>
        <w:t>** NOTE TO SPECIFIER ** Remove options not required</w:t>
      </w:r>
    </w:p>
    <w:p>
      <w:pPr>
        <w:pStyle w:val="ARCATSubSub1"/>
        <w:numPr>
          <w:ilvl w:val="3"/>
          <w:numId w:val="28"/>
        </w:numPr>
        <w:bidi w:val="0"/>
        <w:spacing w:before="120" w:after="0"/>
        <w:ind w:hanging="540" w:left="1710" w:right="0"/>
        <w:jc w:val="left"/>
        <w:rPr>
          <w:sz w:val="20"/>
          <w:szCs w:val="20"/>
        </w:rPr>
      </w:pPr>
      <w:r>
        <w:rPr>
          <w:rStyle w:val="NoneA"/>
          <w:sz w:val="20"/>
          <w:szCs w:val="20"/>
        </w:rPr>
        <w:tab/>
        <w:t xml:space="preserve">Hinges:  Minimum of one pair of 3 inch by 3 inch or greater butt hinges with non-removable pin and heavy duty barrel bolt.  </w:t>
      </w:r>
    </w:p>
    <w:p>
      <w:pPr>
        <w:pStyle w:val="ARCATSubSub1"/>
        <w:numPr>
          <w:ilvl w:val="3"/>
          <w:numId w:val="29"/>
        </w:numPr>
        <w:bidi w:val="0"/>
        <w:spacing w:before="0" w:after="0"/>
        <w:ind w:hanging="540" w:left="1710" w:right="0"/>
        <w:jc w:val="left"/>
        <w:rPr>
          <w:sz w:val="20"/>
          <w:szCs w:val="20"/>
        </w:rPr>
      </w:pPr>
      <w:r>
        <w:rPr>
          <w:rStyle w:val="NoneA"/>
          <w:sz w:val="20"/>
          <w:szCs w:val="20"/>
        </w:rPr>
        <w:tab/>
        <w:t>Padlock Arrangement: Lug(s) to be welded, through bolted, or riveted securely to system.</w:t>
      </w:r>
    </w:p>
    <w:p>
      <w:pPr>
        <w:pStyle w:val="ARCATSubSub1"/>
        <w:numPr>
          <w:ilvl w:val="3"/>
          <w:numId w:val="30"/>
        </w:numPr>
        <w:bidi w:val="0"/>
        <w:spacing w:before="0" w:after="0"/>
        <w:ind w:hanging="540" w:left="1710" w:right="0"/>
        <w:jc w:val="left"/>
        <w:rPr>
          <w:sz w:val="20"/>
          <w:szCs w:val="20"/>
        </w:rPr>
      </w:pPr>
      <w:r>
        <w:rPr>
          <w:rStyle w:val="NoneA"/>
          <w:sz w:val="20"/>
          <w:szCs w:val="20"/>
        </w:rPr>
        <w:tab/>
        <w:t>Hook Bar Locking Device: Welded to system</w:t>
      </w:r>
    </w:p>
    <w:p>
      <w:pPr>
        <w:pStyle w:val="ARCATSubPara"/>
        <w:numPr>
          <w:ilvl w:val="2"/>
          <w:numId w:val="31"/>
        </w:numPr>
        <w:bidi w:val="0"/>
        <w:spacing w:before="120" w:after="200"/>
        <w:ind w:hanging="630" w:left="1170" w:right="0"/>
        <w:jc w:val="left"/>
        <w:rPr>
          <w:sz w:val="20"/>
          <w:szCs w:val="20"/>
          <w:lang w:val="en-US"/>
        </w:rPr>
      </w:pPr>
      <w:r>
        <w:rPr>
          <w:rStyle w:val="NoneA"/>
          <w:sz w:val="20"/>
          <w:szCs w:val="20"/>
          <w:lang w:val="en-US"/>
        </w:rPr>
        <w:t xml:space="preserve">        </w:t>
      </w:r>
      <w:r>
        <w:rPr>
          <w:rStyle w:val="NoneA"/>
          <w:sz w:val="20"/>
          <w:szCs w:val="20"/>
          <w:lang w:val="en-US"/>
        </w:rPr>
        <w:t xml:space="preserve">Finish: </w:t>
      </w:r>
    </w:p>
    <w:p>
      <w:pPr>
        <w:pStyle w:val="ARCATnote"/>
        <w:rPr>
          <w:rStyle w:val="None"/>
          <w:outline w:val="false"/>
          <w:color w:val="FF0000"/>
          <w:u w:val="none" w:color="FF0000"/>
        </w:rPr>
      </w:pPr>
      <w:r>
        <w:rPr>
          <w:rStyle w:val="None"/>
          <w:outline w:val="false"/>
          <w:color w:val="FF0000"/>
          <w:u w:val="none" w:color="FF0000"/>
          <w:lang w:val="en-US"/>
        </w:rPr>
        <w:t>** NOTE TO SPECIFIER ** Delete all except the required finish.</w:t>
      </w:r>
    </w:p>
    <w:p>
      <w:pPr>
        <w:pStyle w:val="ARCATSubPara"/>
        <w:numPr>
          <w:ilvl w:val="3"/>
          <w:numId w:val="32"/>
        </w:numPr>
        <w:bidi w:val="0"/>
        <w:spacing w:before="120" w:after="0"/>
        <w:ind w:hanging="576" w:left="1728" w:right="0"/>
        <w:jc w:val="left"/>
        <w:rPr>
          <w:sz w:val="20"/>
          <w:szCs w:val="20"/>
          <w:lang w:val="en-US"/>
        </w:rPr>
      </w:pPr>
      <w:r>
        <w:rPr>
          <w:rStyle w:val="NoneA"/>
          <w:sz w:val="20"/>
          <w:szCs w:val="20"/>
          <w:lang w:val="en-US"/>
        </w:rPr>
        <w:t xml:space="preserve">       </w:t>
      </w:r>
      <w:r>
        <w:rPr>
          <w:rStyle w:val="NoneA"/>
          <w:sz w:val="20"/>
          <w:szCs w:val="20"/>
          <w:lang w:val="en-US"/>
        </w:rPr>
        <w:t>Powder coated in manufacturer’s standard gray or black.</w:t>
      </w:r>
    </w:p>
    <w:p>
      <w:pPr>
        <w:pStyle w:val="ARCATSubPara"/>
        <w:numPr>
          <w:ilvl w:val="3"/>
          <w:numId w:val="33"/>
        </w:numPr>
        <w:bidi w:val="0"/>
        <w:spacing w:before="0" w:after="0"/>
        <w:ind w:hanging="576" w:left="1728" w:right="0"/>
        <w:jc w:val="left"/>
        <w:rPr>
          <w:sz w:val="20"/>
          <w:szCs w:val="20"/>
          <w:lang w:val="en-US"/>
        </w:rPr>
      </w:pPr>
      <w:r>
        <w:rPr>
          <w:rStyle w:val="NoneA"/>
          <w:sz w:val="20"/>
          <w:szCs w:val="20"/>
          <w:lang w:val="en-US"/>
        </w:rPr>
        <w:t xml:space="preserve">       </w:t>
      </w:r>
      <w:r>
        <w:rPr>
          <w:rStyle w:val="NoneA"/>
          <w:sz w:val="20"/>
          <w:szCs w:val="20"/>
          <w:lang w:val="en-US"/>
        </w:rPr>
        <w:t>Powder coated in color as selected by Architect from manufacturer’s standard color chart.</w:t>
      </w:r>
    </w:p>
    <w:p>
      <w:pPr>
        <w:pStyle w:val="ARCATSubPara"/>
        <w:numPr>
          <w:ilvl w:val="3"/>
          <w:numId w:val="34"/>
        </w:numPr>
        <w:bidi w:val="0"/>
        <w:spacing w:before="0" w:after="0"/>
        <w:ind w:hanging="576" w:left="1728" w:right="0"/>
        <w:jc w:val="left"/>
        <w:rPr>
          <w:sz w:val="20"/>
          <w:szCs w:val="20"/>
        </w:rPr>
      </w:pPr>
      <w:r>
        <w:rPr>
          <w:rStyle w:val="NoneA"/>
          <w:sz w:val="20"/>
          <w:szCs w:val="20"/>
        </w:rPr>
        <w:tab/>
        <w:t>Sprayed enamel in manufacturer</w:t>
      </w:r>
      <w:r>
        <w:rPr>
          <w:rStyle w:val="NoneA"/>
          <w:sz w:val="20"/>
          <w:szCs w:val="20"/>
          <w:lang w:val="en-US"/>
        </w:rPr>
        <w:t>’s standard gray or black.</w:t>
      </w:r>
    </w:p>
    <w:p>
      <w:pPr>
        <w:pStyle w:val="ARCATSubPara"/>
        <w:numPr>
          <w:ilvl w:val="3"/>
          <w:numId w:val="35"/>
        </w:numPr>
        <w:bidi w:val="0"/>
        <w:spacing w:before="0" w:after="0"/>
        <w:ind w:hanging="576" w:left="1728" w:right="0"/>
        <w:jc w:val="left"/>
        <w:rPr>
          <w:sz w:val="20"/>
          <w:szCs w:val="20"/>
        </w:rPr>
      </w:pPr>
      <w:r>
        <w:rPr>
          <w:rStyle w:val="NoneA"/>
          <w:sz w:val="20"/>
          <w:szCs w:val="20"/>
        </w:rPr>
        <w:tab/>
        <w:t>Sprayed enamel in color as selected by Architect from manufacturer</w:t>
      </w:r>
      <w:r>
        <w:rPr>
          <w:rStyle w:val="NoneA"/>
          <w:sz w:val="20"/>
          <w:szCs w:val="20"/>
          <w:lang w:val="en-US"/>
        </w:rPr>
        <w:t>’s standard color chart.</w:t>
      </w:r>
    </w:p>
    <w:p>
      <w:pPr>
        <w:pStyle w:val="ARCATSubPara"/>
        <w:numPr>
          <w:ilvl w:val="3"/>
          <w:numId w:val="36"/>
        </w:numPr>
        <w:bidi w:val="0"/>
        <w:spacing w:before="0" w:after="200"/>
        <w:ind w:hanging="576" w:left="1728" w:right="0"/>
        <w:jc w:val="left"/>
        <w:rPr>
          <w:sz w:val="20"/>
          <w:szCs w:val="20"/>
        </w:rPr>
      </w:pPr>
      <w:r>
        <w:rPr>
          <w:rStyle w:val="NoneA"/>
          <w:sz w:val="20"/>
          <w:szCs w:val="20"/>
        </w:rPr>
        <w:tab/>
        <w:t>Hot-Dipped Galvanized</w:t>
      </w:r>
    </w:p>
    <w:p>
      <w:pPr>
        <w:pStyle w:val="ARCATSubPara"/>
        <w:ind w:hanging="0" w:left="1728" w:right="0"/>
        <w:rPr>
          <w:rStyle w:val="NoneA"/>
          <w:sz w:val="20"/>
          <w:szCs w:val="20"/>
        </w:rPr>
      </w:pPr>
      <w:r>
        <w:rPr>
          <w:sz w:val="20"/>
          <w:szCs w:val="20"/>
        </w:rPr>
      </w:r>
    </w:p>
    <w:p>
      <w:pPr>
        <w:pStyle w:val="ARCATArticle"/>
        <w:numPr>
          <w:ilvl w:val="1"/>
          <w:numId w:val="1"/>
        </w:numPr>
        <w:bidi w:val="0"/>
        <w:spacing w:before="200" w:after="0"/>
        <w:ind w:hanging="576" w:left="576" w:right="0"/>
        <w:jc w:val="left"/>
        <w:rPr>
          <w:sz w:val="20"/>
          <w:szCs w:val="20"/>
        </w:rPr>
      </w:pPr>
      <w:r>
        <w:rPr>
          <w:rStyle w:val="NoneA"/>
          <w:sz w:val="20"/>
          <w:szCs w:val="20"/>
        </w:rPr>
        <w:tab/>
        <w:t>FABRICATION</w:t>
      </w:r>
    </w:p>
    <w:p>
      <w:pPr>
        <w:pStyle w:val="ARCATParagraph"/>
        <w:numPr>
          <w:ilvl w:val="2"/>
          <w:numId w:val="1"/>
        </w:numPr>
        <w:bidi w:val="0"/>
        <w:spacing w:before="200" w:after="0"/>
        <w:ind w:hanging="576" w:left="1152" w:right="0"/>
        <w:jc w:val="left"/>
        <w:rPr>
          <w:sz w:val="20"/>
          <w:szCs w:val="20"/>
        </w:rPr>
      </w:pPr>
      <w:r>
        <w:rPr>
          <w:rStyle w:val="NoneA"/>
          <w:sz w:val="20"/>
          <w:szCs w:val="20"/>
        </w:rPr>
        <w:tab/>
        <w:t>Fabricate assemblies of framed sections; to sizes and profiles required; with framing members fitted, reinforced and braced to suit design requirements.</w:t>
      </w:r>
    </w:p>
    <w:p>
      <w:pPr>
        <w:pStyle w:val="ARCATParagraph"/>
        <w:numPr>
          <w:ilvl w:val="2"/>
          <w:numId w:val="1"/>
        </w:numPr>
        <w:bidi w:val="0"/>
        <w:spacing w:before="0" w:after="0"/>
        <w:ind w:hanging="576" w:left="1152" w:right="0"/>
        <w:jc w:val="left"/>
        <w:rPr>
          <w:sz w:val="20"/>
          <w:szCs w:val="20"/>
        </w:rPr>
      </w:pPr>
      <w:r>
        <w:rPr>
          <w:rStyle w:val="NoneA"/>
          <w:sz w:val="20"/>
          <w:szCs w:val="20"/>
        </w:rPr>
        <w:tab/>
        <w:t>Fit and assemble in largest practical sections for delivery to Project Site, ready for installation.</w:t>
      </w:r>
    </w:p>
    <w:p>
      <w:pPr>
        <w:pStyle w:val="ARCATParagraph"/>
        <w:numPr>
          <w:ilvl w:val="2"/>
          <w:numId w:val="1"/>
        </w:numPr>
        <w:bidi w:val="0"/>
        <w:spacing w:before="0" w:after="0"/>
        <w:ind w:hanging="576" w:left="1152" w:right="0"/>
        <w:jc w:val="left"/>
        <w:rPr>
          <w:sz w:val="20"/>
          <w:szCs w:val="20"/>
        </w:rPr>
      </w:pPr>
      <w:r>
        <w:rPr>
          <w:rStyle w:val="NoneA"/>
          <w:sz w:val="20"/>
          <w:szCs w:val="20"/>
        </w:rPr>
        <w:tab/>
        <w:t>Fabricate items with joints tightly fitted and secured.</w:t>
      </w:r>
    </w:p>
    <w:p>
      <w:pPr>
        <w:pStyle w:val="ARCATParagraph"/>
        <w:numPr>
          <w:ilvl w:val="2"/>
          <w:numId w:val="1"/>
        </w:numPr>
        <w:bidi w:val="0"/>
        <w:spacing w:before="0" w:after="0"/>
        <w:ind w:hanging="576" w:left="1152" w:right="0"/>
        <w:jc w:val="left"/>
        <w:rPr>
          <w:sz w:val="20"/>
          <w:szCs w:val="20"/>
        </w:rPr>
      </w:pPr>
      <w:r>
        <w:rPr>
          <w:rStyle w:val="NoneA"/>
          <w:sz w:val="20"/>
          <w:szCs w:val="20"/>
        </w:rPr>
        <w:tab/>
        <w:t>Grind exposed welds smooth and flush with adjacent finish surface. Ease exposed edges to small uniform radius.</w:t>
      </w:r>
    </w:p>
    <w:p>
      <w:pPr>
        <w:pStyle w:val="ARCATParagraph"/>
        <w:numPr>
          <w:ilvl w:val="2"/>
          <w:numId w:val="1"/>
        </w:numPr>
        <w:bidi w:val="0"/>
        <w:spacing w:before="0" w:after="0"/>
        <w:ind w:hanging="576" w:left="1152" w:right="0"/>
        <w:jc w:val="left"/>
        <w:rPr>
          <w:sz w:val="20"/>
          <w:szCs w:val="20"/>
        </w:rPr>
      </w:pPr>
      <w:r>
        <w:rPr>
          <w:rStyle w:val="NoneA"/>
          <w:sz w:val="20"/>
          <w:szCs w:val="20"/>
        </w:rPr>
        <w:tab/>
        <w:t>Make exposed joints flush and hairline.</w:t>
      </w:r>
    </w:p>
    <w:p>
      <w:pPr>
        <w:pStyle w:val="ARCATParagraph"/>
        <w:numPr>
          <w:ilvl w:val="2"/>
          <w:numId w:val="1"/>
        </w:numPr>
        <w:bidi w:val="0"/>
        <w:spacing w:before="0" w:after="0"/>
        <w:ind w:hanging="576" w:left="1152" w:right="0"/>
        <w:jc w:val="left"/>
        <w:rPr>
          <w:sz w:val="20"/>
          <w:szCs w:val="20"/>
        </w:rPr>
      </w:pPr>
      <w:r>
        <w:rPr>
          <w:rStyle w:val="NoneA"/>
          <w:sz w:val="20"/>
          <w:szCs w:val="20"/>
        </w:rPr>
        <w:tab/>
        <w:t>Provide components required for anchorage. Fabricate anchorage and related components of same material and finish as framing members.</w:t>
      </w:r>
    </w:p>
    <w:p>
      <w:pPr>
        <w:pStyle w:val="ARCATArticle"/>
        <w:numPr>
          <w:ilvl w:val="1"/>
          <w:numId w:val="1"/>
        </w:numPr>
        <w:bidi w:val="0"/>
        <w:spacing w:before="200" w:after="0"/>
        <w:ind w:hanging="576" w:left="576" w:right="0"/>
        <w:jc w:val="left"/>
        <w:rPr>
          <w:sz w:val="20"/>
          <w:szCs w:val="20"/>
        </w:rPr>
      </w:pPr>
      <w:r>
        <w:rPr>
          <w:rStyle w:val="NoneA"/>
          <w:sz w:val="20"/>
          <w:szCs w:val="20"/>
        </w:rPr>
        <w:tab/>
        <w:t>FINISH</w:t>
      </w:r>
    </w:p>
    <w:p>
      <w:pPr>
        <w:pStyle w:val="ARCATParagraph"/>
        <w:numPr>
          <w:ilvl w:val="2"/>
          <w:numId w:val="1"/>
        </w:numPr>
        <w:bidi w:val="0"/>
        <w:spacing w:before="200" w:after="0"/>
        <w:ind w:hanging="576" w:left="1152" w:right="0"/>
        <w:jc w:val="left"/>
        <w:rPr>
          <w:sz w:val="20"/>
          <w:szCs w:val="20"/>
        </w:rPr>
      </w:pPr>
      <w:r>
        <w:rPr>
          <w:rStyle w:val="NoneA"/>
          <w:sz w:val="20"/>
          <w:szCs w:val="20"/>
        </w:rPr>
        <w:tab/>
        <w:t>Clean surfaces of rust, scale, grease, and foreign matter before finishing.  Clean material using a two to three stage wash system immediately prior to finishing.</w:t>
      </w:r>
    </w:p>
    <w:p>
      <w:pPr>
        <w:pStyle w:val="ARCATParagraph"/>
        <w:numPr>
          <w:ilvl w:val="2"/>
          <w:numId w:val="1"/>
        </w:numPr>
        <w:bidi w:val="0"/>
        <w:spacing w:before="0" w:after="200"/>
        <w:ind w:hanging="576" w:left="1152" w:right="0"/>
        <w:jc w:val="left"/>
        <w:rPr>
          <w:sz w:val="20"/>
          <w:szCs w:val="20"/>
        </w:rPr>
      </w:pPr>
      <w:r>
        <w:rPr>
          <w:rStyle w:val="NoneA"/>
          <w:sz w:val="20"/>
          <w:szCs w:val="20"/>
        </w:rPr>
        <w:tab/>
        <w:t>Prefinished Surfaces: Material to be prime coated if required prior to finishing.</w:t>
      </w:r>
    </w:p>
    <w:p>
      <w:pPr>
        <w:pStyle w:val="ARCATSubPara"/>
        <w:rPr>
          <w:rStyle w:val="NoneA"/>
          <w:sz w:val="20"/>
          <w:szCs w:val="20"/>
        </w:rPr>
      </w:pPr>
      <w:r>
        <w:rPr>
          <w:sz w:val="20"/>
          <w:szCs w:val="20"/>
        </w:rPr>
      </w:r>
    </w:p>
    <w:p>
      <w:pPr>
        <w:pStyle w:val="ARCATPart"/>
        <w:numPr>
          <w:ilvl w:val="0"/>
          <w:numId w:val="1"/>
        </w:numPr>
        <w:bidi w:val="0"/>
        <w:spacing w:before="200" w:after="0"/>
        <w:ind w:hanging="576" w:left="576" w:right="0"/>
        <w:jc w:val="left"/>
        <w:rPr>
          <w:sz w:val="20"/>
          <w:szCs w:val="20"/>
          <w:lang w:val="en-US"/>
        </w:rPr>
      </w:pPr>
      <w:r>
        <w:rPr>
          <w:rStyle w:val="NoneA"/>
          <w:sz w:val="20"/>
          <w:szCs w:val="20"/>
          <w:lang w:val="en-US"/>
        </w:rPr>
        <w:t xml:space="preserve">  </w:t>
      </w:r>
      <w:r>
        <w:rPr>
          <w:rStyle w:val="NoneA"/>
          <w:sz w:val="20"/>
          <w:szCs w:val="20"/>
          <w:lang w:val="en-US"/>
        </w:rPr>
        <w:t>EXECUTION</w:t>
      </w:r>
    </w:p>
    <w:p>
      <w:pPr>
        <w:pStyle w:val="ARCATArticle"/>
        <w:numPr>
          <w:ilvl w:val="1"/>
          <w:numId w:val="1"/>
        </w:numPr>
        <w:bidi w:val="0"/>
        <w:spacing w:before="200" w:after="0"/>
        <w:ind w:hanging="576" w:left="576" w:right="0"/>
        <w:jc w:val="left"/>
        <w:rPr>
          <w:sz w:val="20"/>
          <w:szCs w:val="20"/>
        </w:rPr>
      </w:pPr>
      <w:r>
        <w:rPr>
          <w:rStyle w:val="NoneA"/>
          <w:sz w:val="20"/>
          <w:szCs w:val="20"/>
        </w:rPr>
        <w:tab/>
        <w:t>EXAMINATION</w:t>
      </w:r>
    </w:p>
    <w:p>
      <w:pPr>
        <w:pStyle w:val="ARCATParagraph"/>
        <w:numPr>
          <w:ilvl w:val="2"/>
          <w:numId w:val="1"/>
        </w:numPr>
        <w:bidi w:val="0"/>
        <w:spacing w:before="200" w:after="0"/>
        <w:ind w:hanging="576" w:left="1152" w:right="0"/>
        <w:jc w:val="left"/>
        <w:rPr>
          <w:sz w:val="20"/>
          <w:szCs w:val="20"/>
        </w:rPr>
      </w:pPr>
      <w:r>
        <w:rPr>
          <w:rStyle w:val="NoneA"/>
          <w:sz w:val="20"/>
          <w:szCs w:val="20"/>
        </w:rPr>
        <w:tab/>
        <w:t>Verification of Conditions: Examine areas and conditions under which Work is to be performed and identify conditions detrimental to proper or timely completion.</w:t>
      </w:r>
    </w:p>
    <w:p>
      <w:pPr>
        <w:pStyle w:val="ARCATSubPara"/>
        <w:numPr>
          <w:ilvl w:val="3"/>
          <w:numId w:val="1"/>
        </w:numPr>
        <w:bidi w:val="0"/>
        <w:spacing w:before="0" w:after="0"/>
        <w:ind w:hanging="576" w:left="1728" w:right="0"/>
        <w:jc w:val="left"/>
        <w:rPr>
          <w:sz w:val="20"/>
          <w:szCs w:val="20"/>
        </w:rPr>
      </w:pPr>
      <w:r>
        <w:rPr>
          <w:rStyle w:val="NoneA"/>
          <w:sz w:val="20"/>
          <w:szCs w:val="20"/>
        </w:rPr>
        <w:tab/>
        <w:t>Do not proceed until unsatisfactory conditions have been corrected.</w:t>
      </w:r>
    </w:p>
    <w:p>
      <w:pPr>
        <w:pStyle w:val="ARCATArticle"/>
        <w:numPr>
          <w:ilvl w:val="1"/>
          <w:numId w:val="1"/>
        </w:numPr>
        <w:bidi w:val="0"/>
        <w:spacing w:before="200" w:after="0"/>
        <w:ind w:hanging="576" w:left="576" w:right="0"/>
        <w:jc w:val="left"/>
        <w:rPr>
          <w:sz w:val="20"/>
          <w:szCs w:val="20"/>
        </w:rPr>
      </w:pPr>
      <w:r>
        <w:rPr>
          <w:rStyle w:val="NoneA"/>
          <w:sz w:val="20"/>
          <w:szCs w:val="20"/>
        </w:rPr>
        <w:tab/>
        <w:t>INSTALLATION</w:t>
      </w:r>
    </w:p>
    <w:p>
      <w:pPr>
        <w:pStyle w:val="ARCATParagraph"/>
        <w:numPr>
          <w:ilvl w:val="2"/>
          <w:numId w:val="1"/>
        </w:numPr>
        <w:bidi w:val="0"/>
        <w:spacing w:before="200" w:after="0"/>
        <w:ind w:hanging="576" w:left="1152" w:right="0"/>
        <w:jc w:val="left"/>
        <w:rPr>
          <w:sz w:val="20"/>
          <w:szCs w:val="20"/>
        </w:rPr>
      </w:pPr>
      <w:r>
        <w:rPr>
          <w:rStyle w:val="NoneA"/>
          <w:sz w:val="20"/>
          <w:szCs w:val="20"/>
        </w:rPr>
        <w:tab/>
        <w:t>Comply with manufacturer's recommendations.</w:t>
      </w:r>
    </w:p>
    <w:p>
      <w:pPr>
        <w:pStyle w:val="ARCATParagraph"/>
        <w:numPr>
          <w:ilvl w:val="2"/>
          <w:numId w:val="1"/>
        </w:numPr>
        <w:bidi w:val="0"/>
        <w:spacing w:before="0" w:after="0"/>
        <w:ind w:hanging="576" w:left="1152" w:right="0"/>
        <w:jc w:val="left"/>
        <w:rPr>
          <w:sz w:val="20"/>
          <w:szCs w:val="20"/>
        </w:rPr>
      </w:pPr>
      <w:r>
        <w:rPr>
          <w:rStyle w:val="NoneA"/>
          <w:sz w:val="20"/>
          <w:szCs w:val="20"/>
        </w:rPr>
        <w:tab/>
        <w:t>Install partitions and gates plumb and level, accurately fitted, properly aligned, securely fastened, and free from distortion or detects.</w:t>
      </w:r>
    </w:p>
    <w:p>
      <w:pPr>
        <w:pStyle w:val="ARCATArticle"/>
        <w:numPr>
          <w:ilvl w:val="1"/>
          <w:numId w:val="1"/>
        </w:numPr>
        <w:bidi w:val="0"/>
        <w:spacing w:before="200" w:after="0"/>
        <w:ind w:hanging="576" w:left="576" w:right="0"/>
        <w:jc w:val="left"/>
        <w:rPr>
          <w:sz w:val="20"/>
          <w:szCs w:val="20"/>
        </w:rPr>
      </w:pPr>
      <w:r>
        <w:rPr>
          <w:rStyle w:val="NoneA"/>
          <w:sz w:val="20"/>
          <w:szCs w:val="20"/>
        </w:rPr>
        <w:tab/>
        <w:t>TOLERANCES</w:t>
      </w:r>
    </w:p>
    <w:p>
      <w:pPr>
        <w:pStyle w:val="ARCATParagraph"/>
        <w:numPr>
          <w:ilvl w:val="2"/>
          <w:numId w:val="1"/>
        </w:numPr>
        <w:bidi w:val="0"/>
        <w:spacing w:before="200" w:after="0"/>
        <w:ind w:hanging="576" w:left="1152" w:right="0"/>
        <w:jc w:val="left"/>
        <w:rPr>
          <w:sz w:val="20"/>
          <w:szCs w:val="20"/>
        </w:rPr>
      </w:pPr>
      <w:r>
        <w:rPr>
          <w:rStyle w:val="NoneA"/>
          <w:sz w:val="20"/>
          <w:szCs w:val="20"/>
        </w:rPr>
        <w:tab/>
        <w:t>Maximum Variation from Plumb or Level: 1/4 inch (6 mm.</w:t>
      </w:r>
    </w:p>
    <w:p>
      <w:pPr>
        <w:pStyle w:val="ARCATParagraph"/>
        <w:numPr>
          <w:ilvl w:val="2"/>
          <w:numId w:val="1"/>
        </w:numPr>
        <w:bidi w:val="0"/>
        <w:spacing w:before="0" w:after="0"/>
        <w:ind w:hanging="576" w:left="1152" w:right="0"/>
        <w:jc w:val="left"/>
        <w:rPr>
          <w:sz w:val="20"/>
          <w:szCs w:val="20"/>
        </w:rPr>
      </w:pPr>
      <w:r>
        <w:rPr>
          <w:rStyle w:val="NoneA"/>
          <w:sz w:val="20"/>
          <w:szCs w:val="20"/>
        </w:rPr>
        <w:tab/>
        <w:t>Maximum Misalignment from True Position: 1/4 inch (6 mm).</w:t>
      </w:r>
    </w:p>
    <w:p>
      <w:pPr>
        <w:pStyle w:val="ARCATArticle"/>
        <w:numPr>
          <w:ilvl w:val="1"/>
          <w:numId w:val="1"/>
        </w:numPr>
        <w:bidi w:val="0"/>
        <w:spacing w:before="200" w:after="0"/>
        <w:ind w:hanging="576" w:left="576" w:right="0"/>
        <w:jc w:val="left"/>
        <w:rPr>
          <w:sz w:val="20"/>
          <w:szCs w:val="20"/>
        </w:rPr>
      </w:pPr>
      <w:r>
        <w:rPr>
          <w:rStyle w:val="NoneA"/>
          <w:sz w:val="20"/>
          <w:szCs w:val="20"/>
        </w:rPr>
        <w:tab/>
        <w:t>ADJUSTING</w:t>
      </w:r>
    </w:p>
    <w:p>
      <w:pPr>
        <w:pStyle w:val="ARCATParagraph"/>
        <w:numPr>
          <w:ilvl w:val="2"/>
          <w:numId w:val="1"/>
        </w:numPr>
        <w:bidi w:val="0"/>
        <w:spacing w:before="200" w:after="0"/>
        <w:ind w:hanging="576" w:left="1152" w:right="0"/>
        <w:jc w:val="left"/>
        <w:rPr>
          <w:sz w:val="20"/>
          <w:szCs w:val="20"/>
        </w:rPr>
      </w:pPr>
      <w:r>
        <w:rPr>
          <w:rStyle w:val="NoneA"/>
          <w:sz w:val="20"/>
          <w:szCs w:val="20"/>
        </w:rPr>
        <w:tab/>
        <w:t>Adjust moving components for smooth operation without binding.</w:t>
      </w:r>
    </w:p>
    <w:p>
      <w:pPr>
        <w:pStyle w:val="ARCATParagraph"/>
        <w:numPr>
          <w:ilvl w:val="2"/>
          <w:numId w:val="1"/>
        </w:numPr>
        <w:bidi w:val="0"/>
        <w:spacing w:before="0" w:after="0"/>
        <w:ind w:hanging="576" w:left="1152" w:right="0"/>
        <w:jc w:val="left"/>
        <w:rPr>
          <w:sz w:val="20"/>
          <w:szCs w:val="20"/>
        </w:rPr>
      </w:pPr>
      <w:r>
        <w:rPr>
          <w:rStyle w:val="NoneA"/>
          <w:sz w:val="20"/>
          <w:szCs w:val="20"/>
        </w:rPr>
        <w:tab/>
        <w:t>Adjust locks to provide smooth and secure operation.</w:t>
      </w:r>
    </w:p>
    <w:p>
      <w:pPr>
        <w:pStyle w:val="ARCATArticle"/>
        <w:numPr>
          <w:ilvl w:val="1"/>
          <w:numId w:val="1"/>
        </w:numPr>
        <w:bidi w:val="0"/>
        <w:spacing w:before="200" w:after="0"/>
        <w:ind w:hanging="576" w:left="576" w:right="0"/>
        <w:jc w:val="left"/>
        <w:rPr>
          <w:sz w:val="20"/>
          <w:szCs w:val="20"/>
        </w:rPr>
      </w:pPr>
      <w:r>
        <w:rPr>
          <w:rStyle w:val="NoneA"/>
          <w:sz w:val="20"/>
          <w:szCs w:val="20"/>
        </w:rPr>
        <w:tab/>
        <w:t>PROTECTION</w:t>
      </w:r>
    </w:p>
    <w:p>
      <w:pPr>
        <w:pStyle w:val="ARCATParagraph"/>
        <w:numPr>
          <w:ilvl w:val="2"/>
          <w:numId w:val="1"/>
        </w:numPr>
        <w:bidi w:val="0"/>
        <w:spacing w:before="200" w:after="0"/>
        <w:ind w:hanging="576" w:left="1152" w:right="0"/>
        <w:jc w:val="left"/>
        <w:rPr>
          <w:sz w:val="20"/>
          <w:szCs w:val="20"/>
        </w:rPr>
      </w:pPr>
      <w:r>
        <w:rPr>
          <w:rStyle w:val="NoneA"/>
          <w:sz w:val="20"/>
          <w:szCs w:val="20"/>
        </w:rPr>
        <w:tab/>
        <w:t>Protect installed products until completion of project.</w:t>
      </w:r>
    </w:p>
    <w:p>
      <w:pPr>
        <w:pStyle w:val="ARCATParagraph"/>
        <w:numPr>
          <w:ilvl w:val="2"/>
          <w:numId w:val="1"/>
        </w:numPr>
        <w:bidi w:val="0"/>
        <w:spacing w:before="0" w:after="200"/>
        <w:ind w:hanging="576" w:left="1152" w:right="0"/>
        <w:jc w:val="left"/>
        <w:rPr>
          <w:sz w:val="20"/>
          <w:szCs w:val="20"/>
        </w:rPr>
      </w:pPr>
      <w:r>
        <w:rPr>
          <w:rStyle w:val="NoneA"/>
          <w:sz w:val="20"/>
          <w:szCs w:val="20"/>
        </w:rPr>
        <w:tab/>
        <w:t>Touch-up, repair or replace damaged products before Substantial Completion.</w:t>
      </w:r>
    </w:p>
    <w:p>
      <w:pPr>
        <w:pStyle w:val="ARCATNormal"/>
        <w:rPr>
          <w:rStyle w:val="NoneA"/>
          <w:sz w:val="20"/>
          <w:szCs w:val="20"/>
        </w:rPr>
      </w:pPr>
      <w:r>
        <w:rPr>
          <w:sz w:val="20"/>
          <w:szCs w:val="20"/>
        </w:rPr>
      </w:r>
    </w:p>
    <w:p>
      <w:pPr>
        <w:pStyle w:val="ARCATTitle"/>
        <w:spacing w:before="0" w:after="200"/>
        <w:jc w:val="center"/>
        <w:rPr/>
      </w:pPr>
      <w:r>
        <w:rPr>
          <w:rStyle w:val="None"/>
          <w:sz w:val="20"/>
          <w:szCs w:val="20"/>
          <w:lang w:val="en-US"/>
        </w:rPr>
        <w:t>END OF SECTION</w:t>
      </w:r>
    </w:p>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800" w:right="180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Helvetica Neue">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RCATfooter"/>
      <w:keepNext w:val="false"/>
      <w:keepLines w:val="false"/>
      <w:pageBreakBefore w:val="false"/>
      <w:widowControl w:val="false"/>
      <w:suppressLineNumbers w:val="0"/>
      <w:pBdr/>
      <w:shd w:val="clear" w:color="auto" w:fill="auto"/>
      <w:suppressAutoHyphens w:val="false"/>
      <w:bidi w:val="0"/>
      <w:spacing w:lineRule="auto" w:line="276" w:beforeAutospacing="0" w:before="0" w:afterAutospacing="0" w:after="200"/>
      <w:ind w:hanging="0" w:left="0" w:right="0"/>
      <w:jc w:val="center"/>
      <w:rPr/>
    </w:pPr>
    <w:r>
      <w:rPr>
        <w:sz w:val="20"/>
        <w:szCs w:val="20"/>
        <w:lang w:val="en-US"/>
      </w:rPr>
      <w:t>10 22 13 -</w:t>
    </w:r>
    <w:r>
      <w:rPr>
        <w:sz w:val="20"/>
        <w:szCs w:val="20"/>
      </w:rPr>
      <w:fldChar w:fldCharType="begin"/>
    </w:r>
    <w:r>
      <w:rPr>
        <w:sz w:val="20"/>
        <w:szCs w:val="20"/>
      </w:rPr>
      <w:instrText xml:space="preserve"> PAGE </w:instrText>
    </w:r>
    <w:r>
      <w:rPr>
        <w:sz w:val="20"/>
        <w:szCs w:val="20"/>
      </w:rPr>
      <w:fldChar w:fldCharType="separate"/>
    </w:r>
    <w:r>
      <w:rPr>
        <w:sz w:val="20"/>
        <w:szCs w:val="20"/>
      </w:rPr>
      <w:t>6</w:t>
    </w:r>
    <w:r>
      <w:rPr>
        <w:sz w:val="20"/>
        <w:szCs w:val="20"/>
      </w:rPr>
      <w:fldChar w:fldCharType="end"/>
    </w:r>
    <w:r>
      <w:rPr>
        <w:sz w:val="20"/>
        <w:szCs w:val="20"/>
        <w:lang w:val="en-US"/>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RCATfooter"/>
      <w:keepNext w:val="false"/>
      <w:keepLines w:val="false"/>
      <w:pageBreakBefore w:val="false"/>
      <w:widowControl w:val="false"/>
      <w:suppressLineNumbers w:val="0"/>
      <w:pBdr/>
      <w:shd w:val="clear" w:color="auto" w:fill="auto"/>
      <w:suppressAutoHyphens w:val="false"/>
      <w:bidi w:val="0"/>
      <w:spacing w:lineRule="auto" w:line="276" w:beforeAutospacing="0" w:before="0" w:afterAutospacing="0" w:after="200"/>
      <w:ind w:hanging="0" w:left="0" w:right="0"/>
      <w:jc w:val="center"/>
      <w:rPr/>
    </w:pPr>
    <w:r>
      <w:rPr>
        <w:sz w:val="20"/>
        <w:szCs w:val="20"/>
        <w:lang w:val="en-US"/>
      </w:rPr>
      <w:t>10 22 13 -</w:t>
    </w:r>
    <w:r>
      <w:rPr>
        <w:sz w:val="20"/>
        <w:szCs w:val="20"/>
      </w:rPr>
      <w:fldChar w:fldCharType="begin"/>
    </w:r>
    <w:r>
      <w:rPr>
        <w:sz w:val="20"/>
        <w:szCs w:val="20"/>
      </w:rPr>
      <w:instrText xml:space="preserve"> PAGE </w:instrText>
    </w:r>
    <w:r>
      <w:rPr>
        <w:sz w:val="20"/>
        <w:szCs w:val="20"/>
      </w:rPr>
      <w:fldChar w:fldCharType="separate"/>
    </w:r>
    <w:r>
      <w:rPr>
        <w:sz w:val="20"/>
        <w:szCs w:val="20"/>
      </w:rPr>
      <w:t>6</w:t>
    </w:r>
    <w:r>
      <w:rPr>
        <w:sz w:val="20"/>
        <w:szCs w:val="20"/>
      </w:rPr>
      <w:fldChar w:fldCharType="end"/>
    </w:r>
    <w:r>
      <w:rPr>
        <w:sz w:val="20"/>
        <w:szCs w:val="20"/>
        <w:lang w:val="en-US"/>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nothing"/>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suff w:val="nothing"/>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suff w:val="nothing"/>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suff w:val="nothing"/>
      <w:lvlText w:val="%4."/>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suff w:val="nothing"/>
      <w:lvlText w:val="%5."/>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suff w:val="nothing"/>
      <w:lvlText w:val="%6)"/>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suff w:val="nothing"/>
      <w:lvlText w:val="%7)"/>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suff w:val="nothing"/>
      <w:lvlText w:val="%8)"/>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suff w:val="nothing"/>
      <w:lvlText w:val="%9)"/>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2">
    <w:lvl w:ilvl="0">
      <w:start w:val="1"/>
      <w:numFmt w:val="decimal"/>
      <w:suff w:val="nothing"/>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suff w:val="nothing"/>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suff w:val="nothing"/>
      <w:lvlText w:val="%3."/>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suff w:val="nothing"/>
      <w:lvlText w:val="%4."/>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suff w:val="nothing"/>
      <w:lvlText w:val="%5."/>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suff w:val="nothing"/>
      <w:lvlText w:val="%6)"/>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suff w:val="nothing"/>
      <w:lvlText w:val="%7)"/>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suff w:val="nothing"/>
      <w:lvlText w:val="%8)"/>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suff w:val="nothing"/>
      <w:lvlText w:val="%9)"/>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3">
    <w:lvl w:ilvl="0">
      <w:start w:val="1"/>
      <w:numFmt w:val="decimal"/>
      <w:suff w:val="nothing"/>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suff w:val="nothing"/>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suff w:val="nothing"/>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4">
    <w:lvl w:ilvl="0">
      <w:start w:val="1"/>
      <w:numFmt w:val="decimal"/>
      <w:suff w:val="nothing"/>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suff w:val="nothing"/>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suff w:val="nothing"/>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suff w:val="nothing"/>
      <w:lvlText w:val="%4."/>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suff w:val="nothing"/>
      <w:lvlText w:val="%5."/>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suff w:val="nothing"/>
      <w:lvlText w:val="%6)"/>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suff w:val="nothing"/>
      <w:lvlText w:val="%7)"/>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suff w:val="nothing"/>
      <w:lvlText w:val="%8)"/>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suff w:val="nothing"/>
      <w:lvlText w:val="%9)"/>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5">
    <w:lvl w:ilvl="0">
      <w:start w:val="1"/>
      <w:numFmt w:val="decimal"/>
      <w:suff w:val="nothing"/>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suff w:val="nothing"/>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suff w:val="nothing"/>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6">
    <w:lvl w:ilvl="0">
      <w:start w:val="1"/>
      <w:numFmt w:val="decimal"/>
      <w:suff w:val="nothing"/>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suff w:val="nothing"/>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7">
    <w:lvl w:ilvl="0">
      <w:start w:val="1"/>
      <w:numFmt w:val="decimal"/>
      <w:suff w:val="nothing"/>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suff w:val="nothing"/>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suff w:val="nothing"/>
      <w:lvlText w:val="%4."/>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suff w:val="nothing"/>
      <w:lvlText w:val="%5."/>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suff w:val="nothing"/>
      <w:lvlText w:val="%6)"/>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suff w:val="nothing"/>
      <w:lvlText w:val="%7)"/>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suff w:val="nothing"/>
      <w:lvlText w:val="%8)"/>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suff w:val="nothing"/>
      <w:lvlText w:val="%9)"/>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Override>
  </w:num>
  <w:num w:numId="10">
    <w:abstractNumId w:val="1"/>
    <w:lvlOverride w:ilvl="0">
      <w:startOverride w:val="1"/>
    </w:lvlOverride>
    <w:lvlOverride w:ilvl="1">
      <w:startOverride w:val="1"/>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1">
    <w:abstractNumId w:val="1"/>
    <w:lvlOverride w:ilvl="0">
      <w:startOverride w:val="1"/>
    </w:lvlOverride>
    <w:lvlOverride w:ilvl="1">
      <w:startOverride w:val="1"/>
    </w:lvlOverride>
    <w:lvlOverride w:ilvl="2">
      <w:startOverride w:val="1"/>
    </w:lvlOverride>
    <w:lvlOverride w:ilvl="3">
      <w:lvl w:ilvl="3">
        <w:start w:val="1"/>
        <w:numFmt w:val="decimal"/>
        <w:suff w:val="nothing"/>
        <w:lvlText w:val="%4."/>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num>
  <w:num w:numId="12">
    <w:abstractNumId w:val="1"/>
    <w:lvlOverride w:ilvl="0">
      <w:startOverride w:val="1"/>
    </w:lvlOverride>
    <w:lvlOverride w:ilvl="1">
      <w:startOverride w:val="1"/>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3">
    <w:abstractNumId w:val="1"/>
    <w:lvlOverride w:ilvl="0">
      <w:startOverride w:val="1"/>
    </w:lvlOverride>
    <w:lvlOverride w:ilvl="1">
      <w:startOverride w:val="1"/>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4">
    <w:abstractNumId w:val="1"/>
    <w:lvlOverride w:ilvl="0">
      <w:startOverride w:val="1"/>
    </w:lvlOverride>
    <w:lvlOverride w:ilvl="1">
      <w:startOverride w:val="1"/>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5">
    <w:abstractNumId w:val="1"/>
    <w:lvlOverride w:ilvl="0">
      <w:startOverride w:val="1"/>
    </w:lvlOverride>
    <w:lvlOverride w:ilvl="1">
      <w:startOverride w:val="1"/>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6">
    <w:abstractNumId w:val="1"/>
    <w:lvlOverride w:ilvl="0">
      <w:startOverride w:val="1"/>
    </w:lvlOverride>
    <w:lvlOverride w:ilvl="1">
      <w:startOverride w:val="1"/>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7">
    <w:abstractNumId w:val="1"/>
    <w:lvlOverride w:ilvl="0">
      <w:startOverride w:val="1"/>
    </w:lvlOverride>
    <w:lvlOverride w:ilvl="1">
      <w:startOverride w:val="1"/>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8">
    <w:abstractNumId w:val="1"/>
    <w:lvlOverride w:ilvl="0">
      <w:startOverride w:val="1"/>
    </w:lvlOverride>
    <w:lvlOverride w:ilvl="1">
      <w:startOverride w:val="1"/>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9">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0">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1">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2">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3">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4">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5">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6">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7">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8">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9">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30">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31">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32">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33">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34">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35">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36">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bering>
</file>

<file path=word/settings.xml><?xml version="1.0" encoding="utf-8"?>
<w:settings xmlns:w="http://schemas.openxmlformats.org/wordprocessingml/2006/main">
  <w:zoom w:percent="100"/>
  <w:defaultTabStop w:val="58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US"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left="0" w:right="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character" w:styleId="DefaultParagraphFont" w:default="1">
    <w:name w:val="Default Paragraph Font"/>
    <w:qFormat/>
    <w:rPr/>
  </w:style>
  <w:style w:type="character" w:styleId="Hyperlink">
    <w:name w:val="Hyperlink"/>
    <w:rPr>
      <w:u w:val="single" w:color="FFFFFF"/>
    </w:rPr>
  </w:style>
  <w:style w:type="character" w:styleId="NoneA">
    <w:name w:val="None A"/>
    <w:qFormat/>
    <w:rPr/>
  </w:style>
  <w:style w:type="character" w:styleId="None">
    <w:name w:val="None"/>
    <w:qFormat/>
    <w:rPr/>
  </w:style>
  <w:style w:type="character" w:styleId="Hyperlink0">
    <w:name w:val="Hyperlink.0"/>
    <w:basedOn w:val="None"/>
    <w:qFormat/>
    <w:rPr>
      <w:rFonts w:ascii="Times New Roman" w:hAnsi="Times New Roman" w:eastAsia="Times New Roman" w:cs="Times New Roman"/>
      <w:b/>
      <w:bCs/>
      <w:outline w:val="false"/>
      <w:color w:val="0563C1"/>
      <w:sz w:val="24"/>
      <w:szCs w:val="24"/>
      <w:u w:val="single" w:color="0563C1"/>
      <w:lang w:val="de-DE"/>
    </w:rPr>
  </w:style>
  <w:style w:type="character" w:styleId="Hyperlink1">
    <w:name w:val="Hyperlink.1"/>
    <w:basedOn w:val="None"/>
    <w:qFormat/>
    <w:rPr>
      <w:outline w:val="false"/>
      <w:color w:val="0563C1"/>
      <w:u w:val="single" w:color="0563C1"/>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Footer">
    <w:name w:val="Header &amp; Footer"/>
    <w:qFormat/>
    <w:pPr>
      <w:keepNext w:val="false"/>
      <w:keepLines w:val="false"/>
      <w:pageBreakBefore w:val="false"/>
      <w:widowControl/>
      <w:pBdr/>
      <w:shd w:val="clear" w:color="auto" w:fill="auto"/>
      <w:tabs>
        <w:tab w:val="clear" w:pos="580"/>
        <w:tab w:val="right" w:pos="9020" w:leader="none"/>
      </w:tabs>
      <w:suppressAutoHyphens w:val="false"/>
      <w:bidi w:val="0"/>
      <w:spacing w:lineRule="auto" w:line="240" w:beforeAutospacing="0" w:before="0" w:afterAutospacing="0" w:after="0"/>
      <w:ind w:hanging="0" w:left="0" w:right="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en-US" w:eastAsia="zh-CN" w:bidi="hi-IN"/>
      <w14:textOutline>
        <w14:noFill/>
      </w14:textOutline>
    </w:rPr>
  </w:style>
  <w:style w:type="paragraph" w:styleId="ARCATfooter">
    <w:name w:val="ARCAT footer"/>
    <w:qFormat/>
    <w:pPr>
      <w:keepNext w:val="false"/>
      <w:keepLines w:val="false"/>
      <w:pageBreakBefore w:val="false"/>
      <w:widowControl w:val="false"/>
      <w:pBdr/>
      <w:shd w:val="clear" w:color="auto" w:fill="auto"/>
      <w:suppressAutoHyphens w:val="false"/>
      <w:bidi w:val="0"/>
      <w:spacing w:lineRule="auto" w:line="276" w:beforeAutospacing="0" w:before="0" w:afterAutospacing="0" w:after="200"/>
      <w:ind w:hanging="0" w:left="0" w:right="0"/>
      <w:jc w:val="center"/>
    </w:pPr>
    <w:rPr>
      <w:rFonts w:ascii="Arial" w:hAnsi="Arial"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rPr>
  </w:style>
  <w:style w:type="paragraph" w:styleId="BodyA">
    <w:name w:val="Body A"/>
    <w:qFormat/>
    <w:pPr>
      <w:keepNext w:val="false"/>
      <w:keepLines w:val="false"/>
      <w:pageBreakBefore w:val="false"/>
      <w:widowControl/>
      <w:pBdr/>
      <w:shd w:val="clear" w:color="auto" w:fill="auto"/>
      <w:suppressAutoHyphens w:val="false"/>
      <w:bidi w:val="0"/>
      <w:spacing w:lineRule="auto" w:line="276" w:beforeAutospacing="0" w:before="0" w:afterAutospacing="0" w:after="200"/>
      <w:ind w:hanging="0" w:left="0" w:right="0"/>
      <w:jc w:val="left"/>
    </w:pPr>
    <w:rPr>
      <w:rFonts w:ascii="Calibri" w:hAnsi="Calibri" w:eastAsia="Calibri" w:cs="Calibri"/>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000000"/>
      <w:shd w:fill="auto" w:val="clear"/>
      <w:vertAlign w:val="baseline"/>
      <w:lang w:val="en-US" w:eastAsia="zh-CN" w:bidi="hi-IN"/>
      <w14:textOutline w14:w="12700" w14:cap="flat">
        <w14:noFill/>
        <w14:miter w14:lim="400000"/>
      </w14:textOutline>
    </w:rPr>
  </w:style>
  <w:style w:type="paragraph" w:styleId="ARCATNormal">
    <w:name w:val="ARCAT Normal"/>
    <w:qFormat/>
    <w:pPr>
      <w:keepNext w:val="false"/>
      <w:keepLines w:val="false"/>
      <w:pageBreakBefore w:val="false"/>
      <w:widowControl w:val="false"/>
      <w:pBdr/>
      <w:shd w:val="clear" w:color="auto" w:fill="auto"/>
      <w:suppressAutoHyphens w:val="false"/>
      <w:bidi w:val="0"/>
      <w:spacing w:lineRule="auto" w:line="276" w:beforeAutospacing="0" w:before="0" w:afterAutospacing="0" w:after="200"/>
      <w:ind w:hanging="0" w:left="0" w:right="0"/>
      <w:jc w:val="left"/>
    </w:pPr>
    <w:rPr>
      <w:rFonts w:ascii="Arial" w:hAnsi="Arial" w:eastAsia="Arial" w:cs="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rPr>
  </w:style>
  <w:style w:type="paragraph" w:styleId="ARCATTitle">
    <w:name w:val="ARCAT Title"/>
    <w:qFormat/>
    <w:pPr>
      <w:keepNext w:val="false"/>
      <w:keepLines w:val="false"/>
      <w:pageBreakBefore w:val="false"/>
      <w:widowControl w:val="false"/>
      <w:pBdr/>
      <w:shd w:val="clear" w:color="auto" w:fill="auto"/>
      <w:suppressAutoHyphens w:val="false"/>
      <w:bidi w:val="0"/>
      <w:spacing w:lineRule="auto" w:line="276" w:beforeAutospacing="0" w:before="0" w:afterAutospacing="0" w:after="200"/>
      <w:ind w:hanging="0" w:left="0" w:right="0"/>
      <w:jc w:val="left"/>
    </w:pPr>
    <w:rPr>
      <w:rFonts w:ascii="Arial" w:hAnsi="Arial"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rPr>
  </w:style>
  <w:style w:type="paragraph" w:styleId="ARCATnote">
    <w:name w:val="ARCAT note"/>
    <w:qFormat/>
    <w:pPr>
      <w:keepNext w:val="false"/>
      <w:keepLines w:val="false"/>
      <w:pageBreakBefore w:val="false"/>
      <w:widowControl w:val="false"/>
      <w:pBdr>
        <w:top w:val="dotted" w:sz="4" w:space="0" w:color="FF0000"/>
        <w:left w:val="dotted" w:sz="4" w:space="0" w:color="FF0000"/>
        <w:bottom w:val="dotted" w:sz="4" w:space="0" w:color="FF0000"/>
        <w:right w:val="dotted" w:sz="4" w:space="0" w:color="FF0000"/>
      </w:pBdr>
      <w:shd w:val="clear" w:color="auto" w:fill="auto"/>
      <w:suppressAutoHyphens w:val="false"/>
      <w:bidi w:val="0"/>
      <w:spacing w:lineRule="auto" w:line="276" w:beforeAutospacing="0" w:before="0" w:afterAutospacing="0" w:after="200"/>
      <w:ind w:hanging="0" w:left="0" w:right="0"/>
      <w:jc w:val="left"/>
    </w:pPr>
    <w:rPr>
      <w:rFonts w:ascii="Arial" w:hAnsi="Arial" w:eastAsia="Arial Unicode MS" w:cs="Arial Unicode MS"/>
      <w:b/>
      <w:bCs/>
      <w:i w:val="false"/>
      <w:iCs w:val="false"/>
      <w:caps w:val="false"/>
      <w:smallCaps w:val="false"/>
      <w:strike w:val="false"/>
      <w:dstrike w:val="false"/>
      <w:outline w:val="false"/>
      <w:emboss w:val="false"/>
      <w:imprint w:val="false"/>
      <w:vanish w:val="false"/>
      <w:color w:val="000000"/>
      <w:spacing w:val="0"/>
      <w:w w:val="100"/>
      <w:kern w:val="0"/>
      <w:position w:val="0"/>
      <w:sz w:val="20"/>
      <w:sz w:val="20"/>
      <w:szCs w:val="20"/>
      <w:u w:val="none" w:color="000000"/>
      <w:shd w:fill="auto" w:val="clear"/>
      <w:vertAlign w:val="baseline"/>
      <w:lang w:val="en-US" w:eastAsia="zh-CN" w:bidi="hi-IN"/>
    </w:rPr>
  </w:style>
  <w:style w:type="paragraph" w:styleId="ARCATPart">
    <w:name w:val="ARCAT Part"/>
    <w:qFormat/>
    <w:pPr>
      <w:keepNext w:val="false"/>
      <w:keepLines w:val="false"/>
      <w:pageBreakBefore w:val="false"/>
      <w:widowControl w:val="false"/>
      <w:pBdr/>
      <w:shd w:val="clear" w:color="auto" w:fill="auto"/>
      <w:suppressAutoHyphens w:val="false"/>
      <w:bidi w:val="0"/>
      <w:spacing w:lineRule="auto" w:line="276" w:beforeAutospacing="0" w:before="0" w:afterAutospacing="0" w:after="200"/>
      <w:ind w:hanging="0" w:left="0" w:right="0"/>
      <w:jc w:val="left"/>
    </w:pPr>
    <w:rPr>
      <w:rFonts w:ascii="Arial" w:hAnsi="Arial"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rPr>
  </w:style>
  <w:style w:type="paragraph" w:styleId="ARCATArticle">
    <w:name w:val="ARCAT Article"/>
    <w:qFormat/>
    <w:pPr>
      <w:keepNext w:val="false"/>
      <w:keepLines w:val="false"/>
      <w:pageBreakBefore w:val="false"/>
      <w:widowControl w:val="false"/>
      <w:pBdr/>
      <w:shd w:val="clear" w:color="auto" w:fill="auto"/>
      <w:suppressAutoHyphens w:val="false"/>
      <w:bidi w:val="0"/>
      <w:spacing w:lineRule="auto" w:line="276" w:beforeAutospacing="0" w:before="0" w:afterAutospacing="0" w:after="200"/>
      <w:ind w:hanging="0" w:left="0" w:right="0"/>
      <w:jc w:val="left"/>
    </w:pPr>
    <w:rPr>
      <w:rFonts w:ascii="Arial" w:hAnsi="Arial" w:eastAsia="Arial" w:cs="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rPr>
  </w:style>
  <w:style w:type="paragraph" w:styleId="ARCATParagraph">
    <w:name w:val="ARCAT Paragraph"/>
    <w:qFormat/>
    <w:pPr>
      <w:keepNext w:val="false"/>
      <w:keepLines w:val="false"/>
      <w:pageBreakBefore w:val="false"/>
      <w:widowControl w:val="false"/>
      <w:pBdr/>
      <w:shd w:val="clear" w:color="auto" w:fill="auto"/>
      <w:suppressAutoHyphens w:val="false"/>
      <w:bidi w:val="0"/>
      <w:spacing w:lineRule="auto" w:line="276" w:beforeAutospacing="0" w:before="0" w:afterAutospacing="0" w:after="200"/>
      <w:ind w:hanging="0" w:left="0" w:right="0"/>
      <w:jc w:val="left"/>
    </w:pPr>
    <w:rPr>
      <w:rFonts w:ascii="Arial" w:hAnsi="Arial" w:eastAsia="Arial" w:cs="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rPr>
  </w:style>
  <w:style w:type="paragraph" w:styleId="ARCATSubPara">
    <w:name w:val="ARCAT SubPara"/>
    <w:qFormat/>
    <w:pPr>
      <w:keepNext w:val="false"/>
      <w:keepLines w:val="false"/>
      <w:pageBreakBefore w:val="false"/>
      <w:widowControl w:val="false"/>
      <w:pBdr/>
      <w:shd w:val="clear" w:color="auto" w:fill="auto"/>
      <w:suppressAutoHyphens w:val="false"/>
      <w:bidi w:val="0"/>
      <w:spacing w:lineRule="auto" w:line="276" w:beforeAutospacing="0" w:before="0" w:afterAutospacing="0" w:after="200"/>
      <w:ind w:hanging="0" w:left="0" w:right="0"/>
      <w:jc w:val="left"/>
    </w:pPr>
    <w:rPr>
      <w:rFonts w:ascii="Arial" w:hAnsi="Arial" w:eastAsia="Arial" w:cs="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rPr>
  </w:style>
  <w:style w:type="paragraph" w:styleId="ARCATSubSub1">
    <w:name w:val="ARCAT SubSub1"/>
    <w:qFormat/>
    <w:pPr>
      <w:keepNext w:val="false"/>
      <w:keepLines w:val="false"/>
      <w:pageBreakBefore w:val="false"/>
      <w:widowControl w:val="false"/>
      <w:pBdr/>
      <w:shd w:val="clear" w:color="auto" w:fill="auto"/>
      <w:suppressAutoHyphens w:val="false"/>
      <w:bidi w:val="0"/>
      <w:spacing w:lineRule="auto" w:line="276" w:beforeAutospacing="0" w:before="0" w:afterAutospacing="0" w:after="200"/>
      <w:ind w:hanging="0" w:left="0" w:right="0"/>
      <w:jc w:val="left"/>
    </w:pPr>
    <w:rPr>
      <w:rFonts w:ascii="Arial" w:hAnsi="Arial" w:eastAsia="Arial" w:cs="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qFormat/>
  </w:style>
  <w:style w:type="numbering" w:styleId="ImportedStyle1">
    <w:name w:val="Imported Style 1"/>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info@wovenwire.org" TargetMode="External"/><Relationship Id="rId4" Type="http://schemas.openxmlformats.org/officeDocument/2006/relationships/hyperlink" Target="http://www.wovenwire.org/"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LibreOffice/25.2.7.2$Windows_X86_64 LibreOffice_project/5cbfd1ab6520636bb5f7b99185aa69bd7456825d</Application>
  <AppVersion>15.0000</AppVersion>
  <Pages>6</Pages>
  <Words>1433</Words>
  <Characters>8155</Characters>
  <CharactersWithSpaces>9649</CharactersWithSpaces>
  <Paragraphs>117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2026-04-07T11:08:17Z</dcterms:modified>
  <cp:revision>1</cp:revision>
  <dc:subject/>
  <dc:title/>
</cp:coreProperties>
</file>